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9F7CED" w14:paraId="594DB416"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04E3C39E" w14:textId="77777777" w:rsidR="0026513E" w:rsidRPr="00D965B1" w:rsidRDefault="00795C6B" w:rsidP="002264B8">
            <w:pPr>
              <w:pStyle w:val="Ttulo2"/>
              <w:ind w:right="72"/>
              <w:jc w:val="left"/>
              <w:rPr>
                <w:rFonts w:cs="Arial"/>
                <w:bCs/>
                <w:color w:val="FFFFFF"/>
                <w:sz w:val="22"/>
                <w:szCs w:val="22"/>
              </w:rPr>
            </w:pPr>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0D43DA5" w14:textId="5F2014FE" w:rsidR="0026513E" w:rsidRPr="00CD280D" w:rsidRDefault="00CD280D" w:rsidP="00CD280D">
            <w:pPr>
              <w:pStyle w:val="Ttulo2"/>
              <w:ind w:right="72"/>
              <w:jc w:val="left"/>
              <w:rPr>
                <w:rFonts w:cs="Arial"/>
                <w:b w:val="0"/>
                <w:iCs/>
                <w:color w:val="808080"/>
                <w:sz w:val="22"/>
                <w:szCs w:val="22"/>
              </w:rPr>
            </w:pPr>
            <w:r w:rsidRPr="00651107">
              <w:rPr>
                <w:rFonts w:cs="Arial"/>
                <w:b w:val="0"/>
                <w:iCs/>
                <w:color w:val="171717" w:themeColor="background2" w:themeShade="1A"/>
                <w:sz w:val="22"/>
                <w:szCs w:val="22"/>
              </w:rPr>
              <w:t>Ministerio del Trabajo – Departamento Administrativo de Función Pública</w:t>
            </w:r>
          </w:p>
        </w:tc>
      </w:tr>
      <w:tr w:rsidR="005C4522" w:rsidRPr="009F7CED" w14:paraId="4A71D3FC"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1502A555" w14:textId="77777777" w:rsidR="00C47F73" w:rsidRPr="00D965B1" w:rsidRDefault="0026513E" w:rsidP="002264B8">
            <w:pPr>
              <w:pStyle w:val="Ttulo2"/>
              <w:ind w:right="72"/>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(dd/mm/aa)</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18D7297" w14:textId="765428C4" w:rsidR="00C47F73" w:rsidRPr="00CD280D" w:rsidRDefault="00C47F73" w:rsidP="005F30C3">
            <w:pPr>
              <w:pStyle w:val="Ttulo2"/>
              <w:ind w:left="72" w:right="72"/>
              <w:jc w:val="left"/>
              <w:rPr>
                <w:rFonts w:cs="Arial"/>
                <w:b w:val="0"/>
                <w:iCs/>
                <w:sz w:val="22"/>
                <w:szCs w:val="22"/>
              </w:rPr>
            </w:pPr>
          </w:p>
        </w:tc>
      </w:tr>
      <w:tr w:rsidR="005C4522" w:rsidRPr="009F7CED" w14:paraId="3C4DE5DC"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0BDE4F2E" w14:textId="77777777" w:rsidR="0059316B" w:rsidRPr="00D965B1" w:rsidRDefault="00A55DB6" w:rsidP="002264B8">
            <w:pPr>
              <w:pStyle w:val="Ttulo2"/>
              <w:ind w:right="72"/>
              <w:jc w:val="left"/>
              <w:rPr>
                <w:rFonts w:cs="Arial"/>
                <w:bCs/>
                <w:color w:val="FFFFFF"/>
                <w:sz w:val="22"/>
                <w:szCs w:val="22"/>
              </w:rPr>
            </w:pPr>
            <w:r w:rsidRPr="00D965B1">
              <w:rPr>
                <w:rFonts w:cs="Arial"/>
                <w:bCs/>
                <w:color w:val="FFFFFF"/>
                <w:sz w:val="22"/>
                <w:szCs w:val="22"/>
              </w:rPr>
              <w:t xml:space="preserve">Proyecto de </w:t>
            </w:r>
            <w:r w:rsidR="00587695" w:rsidRPr="00D965B1">
              <w:rPr>
                <w:rFonts w:cs="Arial"/>
                <w:bCs/>
                <w:color w:val="FFFFFF"/>
                <w:sz w:val="22"/>
                <w:szCs w:val="22"/>
              </w:rPr>
              <w:t>D</w:t>
            </w:r>
            <w:r w:rsidRPr="00D965B1">
              <w:rPr>
                <w:rFonts w:cs="Arial"/>
                <w:bCs/>
                <w:color w:val="FFFFFF"/>
                <w:sz w:val="22"/>
                <w:szCs w:val="22"/>
              </w:rPr>
              <w:t>ecreto</w:t>
            </w:r>
            <w:r w:rsidR="00795C6B" w:rsidRPr="00D965B1">
              <w:rPr>
                <w:rFonts w:cs="Arial"/>
                <w:bCs/>
                <w:color w:val="FFFFFF"/>
                <w:sz w:val="22"/>
                <w:szCs w:val="22"/>
              </w:rPr>
              <w:t>/Resolución</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47D50093" w14:textId="3DFAA603" w:rsidR="00CD280D" w:rsidRDefault="00CD280D" w:rsidP="00177ED9">
            <w:pPr>
              <w:pStyle w:val="Encabezado"/>
              <w:tabs>
                <w:tab w:val="clear" w:pos="8504"/>
                <w:tab w:val="left" w:pos="8789"/>
              </w:tabs>
              <w:ind w:right="49"/>
              <w:jc w:val="both"/>
              <w:rPr>
                <w:rFonts w:eastAsia="Arial" w:cs="Arial"/>
                <w:sz w:val="24"/>
                <w:szCs w:val="24"/>
              </w:rPr>
            </w:pPr>
            <w:r>
              <w:rPr>
                <w:rFonts w:eastAsia="Arial" w:cs="Arial"/>
                <w:sz w:val="24"/>
                <w:szCs w:val="24"/>
              </w:rPr>
              <w:t>Por el cual se modifica el Capítulo 4 del Título 2 de la Parte 2 del Libro 2 del Decreto 1072 de 2015, Decreto Único Reglamentario del Sector Trabajo en lo relativo a los procedimientos de negociación y solución de controversias con las organizaciones de empleados públicos</w:t>
            </w:r>
            <w:r w:rsidR="00332D91">
              <w:rPr>
                <w:rFonts w:eastAsia="Arial" w:cs="Arial"/>
                <w:sz w:val="24"/>
                <w:szCs w:val="24"/>
              </w:rPr>
              <w:t>.</w:t>
            </w:r>
          </w:p>
          <w:p w14:paraId="6A904903" w14:textId="2303ED98" w:rsidR="001F238A" w:rsidRPr="009F7CED" w:rsidRDefault="001F238A" w:rsidP="00CD280D">
            <w:pPr>
              <w:pStyle w:val="Ttulo2"/>
              <w:ind w:right="72"/>
              <w:jc w:val="left"/>
              <w:rPr>
                <w:rFonts w:cs="Arial"/>
                <w:spacing w:val="-3"/>
                <w:sz w:val="22"/>
                <w:szCs w:val="22"/>
              </w:rPr>
            </w:pPr>
          </w:p>
        </w:tc>
      </w:tr>
      <w:tr w:rsidR="00DF60FD" w:rsidRPr="009F7CED" w14:paraId="2F9D5B45" w14:textId="77777777" w:rsidTr="0075705D">
        <w:trPr>
          <w:trHeight w:val="674"/>
        </w:trPr>
        <w:tc>
          <w:tcPr>
            <w:tcW w:w="10774" w:type="dxa"/>
            <w:gridSpan w:val="3"/>
            <w:tcBorders>
              <w:top w:val="single" w:sz="4" w:space="0" w:color="auto"/>
            </w:tcBorders>
            <w:shd w:val="clear" w:color="auto" w:fill="FFFFFF"/>
            <w:vAlign w:val="center"/>
          </w:tcPr>
          <w:p w14:paraId="137806BC" w14:textId="77777777" w:rsidR="006315B4" w:rsidRPr="009F7CED" w:rsidRDefault="006315B4" w:rsidP="0075705D">
            <w:pPr>
              <w:autoSpaceDE w:val="0"/>
              <w:autoSpaceDN w:val="0"/>
              <w:adjustRightInd w:val="0"/>
              <w:jc w:val="both"/>
              <w:rPr>
                <w:rFonts w:eastAsia="Calibri" w:cs="Arial"/>
                <w:sz w:val="22"/>
                <w:szCs w:val="22"/>
                <w:lang w:val="es-CO" w:eastAsia="en-US"/>
              </w:rPr>
            </w:pPr>
          </w:p>
          <w:p w14:paraId="7EA71DA7" w14:textId="77777777" w:rsidR="0095690D" w:rsidRPr="005F30C3" w:rsidRDefault="0095690D" w:rsidP="00332D91">
            <w:pPr>
              <w:numPr>
                <w:ilvl w:val="0"/>
                <w:numId w:val="44"/>
              </w:numPr>
              <w:ind w:left="494"/>
              <w:jc w:val="both"/>
              <w:rPr>
                <w:rFonts w:cs="Arial"/>
                <w:b/>
                <w:color w:val="000000"/>
                <w:sz w:val="22"/>
                <w:szCs w:val="22"/>
                <w:lang w:val="es-CO"/>
              </w:rPr>
            </w:pPr>
            <w:r w:rsidRPr="005F30C3">
              <w:rPr>
                <w:rFonts w:cs="Arial"/>
                <w:b/>
                <w:color w:val="000000"/>
                <w:sz w:val="22"/>
                <w:szCs w:val="22"/>
                <w:lang w:val="es-CO"/>
              </w:rPr>
              <w:t>ANTECEDENTES Y RAZONES DE OPORTUNIDAD Y CONVENIENCIA QUE JUSTIFICAN SU EXPEDICIÓN.</w:t>
            </w:r>
          </w:p>
          <w:p w14:paraId="6C299B2F" w14:textId="77777777" w:rsidR="00795C6B" w:rsidRDefault="00795C6B" w:rsidP="0075705D">
            <w:pPr>
              <w:pStyle w:val="Listavistosa-nfasis11"/>
              <w:spacing w:line="240" w:lineRule="auto"/>
              <w:ind w:left="494"/>
              <w:jc w:val="both"/>
              <w:rPr>
                <w:rFonts w:ascii="Arial" w:hAnsi="Arial" w:cs="Arial"/>
                <w:i/>
                <w:color w:val="808080"/>
                <w:sz w:val="18"/>
              </w:rPr>
            </w:pPr>
            <w:r w:rsidRPr="00795C6B">
              <w:rPr>
                <w:rFonts w:ascii="Arial" w:hAnsi="Arial" w:cs="Arial"/>
                <w:i/>
                <w:color w:val="808080"/>
                <w:sz w:val="18"/>
              </w:rPr>
              <w:t xml:space="preserve">(Por favor explique de manera amplia y detallada: la necesidad de regulación, alcance, fin que se pretende y sus implicaciones con otras disposiciones, por favor no transcriba con considerandos) </w:t>
            </w:r>
          </w:p>
          <w:p w14:paraId="6A8DEB85" w14:textId="77777777" w:rsidR="00177ED9" w:rsidRPr="00177ED9" w:rsidRDefault="00177ED9" w:rsidP="00177ED9">
            <w:pPr>
              <w:autoSpaceDE w:val="0"/>
              <w:autoSpaceDN w:val="0"/>
              <w:adjustRightInd w:val="0"/>
              <w:jc w:val="both"/>
              <w:rPr>
                <w:rFonts w:eastAsia="Calibri" w:cs="Arial"/>
                <w:b/>
                <w:bCs/>
                <w:sz w:val="22"/>
                <w:szCs w:val="22"/>
                <w:lang w:val="es-CO" w:eastAsia="en-US"/>
              </w:rPr>
            </w:pPr>
            <w:r w:rsidRPr="00177ED9">
              <w:rPr>
                <w:rFonts w:eastAsia="Calibri" w:cs="Arial"/>
                <w:b/>
                <w:bCs/>
                <w:sz w:val="22"/>
                <w:szCs w:val="22"/>
                <w:lang w:val="es-CO" w:eastAsia="en-US"/>
              </w:rPr>
              <w:t>1.1 ANTECEDENTES</w:t>
            </w:r>
          </w:p>
          <w:p w14:paraId="61913265" w14:textId="77777777" w:rsidR="00177ED9" w:rsidRPr="00177ED9" w:rsidRDefault="00177ED9" w:rsidP="00177ED9">
            <w:pPr>
              <w:autoSpaceDE w:val="0"/>
              <w:autoSpaceDN w:val="0"/>
              <w:adjustRightInd w:val="0"/>
              <w:jc w:val="both"/>
              <w:rPr>
                <w:rFonts w:eastAsia="Calibri" w:cs="Arial"/>
                <w:sz w:val="22"/>
                <w:szCs w:val="22"/>
                <w:lang w:val="es-CO" w:eastAsia="en-US"/>
              </w:rPr>
            </w:pPr>
          </w:p>
          <w:p w14:paraId="39493DCC" w14:textId="48AE9BC1" w:rsidR="00177ED9" w:rsidRPr="00177ED9" w:rsidRDefault="00177ED9" w:rsidP="00177ED9">
            <w:pPr>
              <w:autoSpaceDE w:val="0"/>
              <w:autoSpaceDN w:val="0"/>
              <w:adjustRightInd w:val="0"/>
              <w:jc w:val="both"/>
              <w:rPr>
                <w:rFonts w:eastAsia="Calibri" w:cs="Arial"/>
                <w:sz w:val="22"/>
                <w:szCs w:val="22"/>
                <w:lang w:val="es-CO" w:eastAsia="en-US"/>
              </w:rPr>
            </w:pPr>
            <w:r w:rsidRPr="00177ED9">
              <w:rPr>
                <w:rFonts w:eastAsia="Calibri" w:cs="Arial"/>
                <w:sz w:val="22"/>
                <w:szCs w:val="22"/>
                <w:lang w:val="es-CO" w:eastAsia="en-US"/>
              </w:rPr>
              <w:t>El Convenio 151 sobre la protección del derecho de sindicación y los procedimientos para determinar las condiciones de empleo en la adm</w:t>
            </w:r>
            <w:r w:rsidR="00150C81">
              <w:rPr>
                <w:rFonts w:eastAsia="Calibri" w:cs="Arial"/>
                <w:sz w:val="22"/>
                <w:szCs w:val="22"/>
                <w:lang w:val="es-CO" w:eastAsia="en-US"/>
              </w:rPr>
              <w:t>inistración pública fue aprobado</w:t>
            </w:r>
            <w:r w:rsidRPr="00177ED9">
              <w:rPr>
                <w:rFonts w:eastAsia="Calibri" w:cs="Arial"/>
                <w:sz w:val="22"/>
                <w:szCs w:val="22"/>
                <w:lang w:val="es-CO" w:eastAsia="en-US"/>
              </w:rPr>
              <w:t xml:space="preserve"> en la 64 Reunión de la Conferencia General de la Organización Internaci</w:t>
            </w:r>
            <w:r w:rsidR="00150C81">
              <w:rPr>
                <w:rFonts w:eastAsia="Calibri" w:cs="Arial"/>
                <w:sz w:val="22"/>
                <w:szCs w:val="22"/>
                <w:lang w:val="es-CO" w:eastAsia="en-US"/>
              </w:rPr>
              <w:t>onal del Trabajo en el año 1978, y adoptado</w:t>
            </w:r>
            <w:r w:rsidRPr="00177ED9">
              <w:rPr>
                <w:rFonts w:eastAsia="Calibri" w:cs="Arial"/>
                <w:sz w:val="22"/>
                <w:szCs w:val="22"/>
                <w:lang w:val="es-CO" w:eastAsia="en-US"/>
              </w:rPr>
              <w:t xml:space="preserve"> por la Organización Internacional del Trabajo </w:t>
            </w:r>
            <w:r w:rsidR="00150C81">
              <w:rPr>
                <w:rFonts w:eastAsia="Calibri" w:cs="Arial"/>
                <w:sz w:val="22"/>
                <w:szCs w:val="22"/>
                <w:lang w:val="es-CO" w:eastAsia="en-US"/>
              </w:rPr>
              <w:t xml:space="preserve">–OIT- </w:t>
            </w:r>
            <w:r w:rsidRPr="00177ED9">
              <w:rPr>
                <w:rFonts w:eastAsia="Calibri" w:cs="Arial"/>
                <w:sz w:val="22"/>
                <w:szCs w:val="22"/>
                <w:lang w:val="es-CO" w:eastAsia="en-US"/>
              </w:rPr>
              <w:t xml:space="preserve">teniendo en cuenta que los convenios 87 y 98 no le eran aplicables a ciertas categorías de empleados públicos, dada la considerable expansión de los servicios prestados por la administración pública en muchos países y de la necesidad de que existan sanas relaciones laborales entre las autoridades públicas y las organizaciones de empleados público. </w:t>
            </w:r>
          </w:p>
          <w:p w14:paraId="49D48FB4" w14:textId="77777777" w:rsidR="00177ED9" w:rsidRPr="00177ED9" w:rsidRDefault="00177ED9" w:rsidP="00177ED9">
            <w:pPr>
              <w:autoSpaceDE w:val="0"/>
              <w:autoSpaceDN w:val="0"/>
              <w:adjustRightInd w:val="0"/>
              <w:jc w:val="both"/>
              <w:rPr>
                <w:rFonts w:eastAsia="Calibri" w:cs="Arial"/>
                <w:sz w:val="22"/>
                <w:szCs w:val="22"/>
                <w:lang w:val="es-CO" w:eastAsia="en-US"/>
              </w:rPr>
            </w:pPr>
          </w:p>
          <w:p w14:paraId="1D1D0E3B" w14:textId="17B72720" w:rsidR="00177ED9" w:rsidRPr="00177ED9" w:rsidRDefault="00150C81" w:rsidP="00177ED9">
            <w:pPr>
              <w:autoSpaceDE w:val="0"/>
              <w:autoSpaceDN w:val="0"/>
              <w:adjustRightInd w:val="0"/>
              <w:jc w:val="both"/>
              <w:rPr>
                <w:rFonts w:eastAsia="Calibri" w:cs="Arial"/>
                <w:sz w:val="22"/>
                <w:szCs w:val="22"/>
                <w:lang w:val="es-CO" w:eastAsia="en-US"/>
              </w:rPr>
            </w:pPr>
            <w:r>
              <w:rPr>
                <w:rFonts w:eastAsia="Calibri" w:cs="Arial"/>
                <w:sz w:val="22"/>
                <w:szCs w:val="22"/>
                <w:lang w:val="es-CO" w:eastAsia="en-US"/>
              </w:rPr>
              <w:t>E</w:t>
            </w:r>
            <w:r w:rsidR="00177ED9" w:rsidRPr="00177ED9">
              <w:rPr>
                <w:rFonts w:eastAsia="Calibri" w:cs="Arial"/>
                <w:sz w:val="22"/>
                <w:szCs w:val="22"/>
                <w:lang w:val="es-CO" w:eastAsia="en-US"/>
              </w:rPr>
              <w:t>l Convenio 151 es ratificado por Colombia a través de la Ley 411 de 1997, la cual, a su vez, fue reglament</w:t>
            </w:r>
            <w:r w:rsidR="00C40FDF">
              <w:rPr>
                <w:rFonts w:eastAsia="Calibri" w:cs="Arial"/>
                <w:sz w:val="22"/>
                <w:szCs w:val="22"/>
                <w:lang w:val="es-CO" w:eastAsia="en-US"/>
              </w:rPr>
              <w:t>ada por el d</w:t>
            </w:r>
            <w:r>
              <w:rPr>
                <w:rFonts w:eastAsia="Calibri" w:cs="Arial"/>
                <w:sz w:val="22"/>
                <w:szCs w:val="22"/>
                <w:lang w:val="es-CO" w:eastAsia="en-US"/>
              </w:rPr>
              <w:t xml:space="preserve">ecreto 1092 de 2012, que </w:t>
            </w:r>
            <w:r w:rsidR="00177ED9" w:rsidRPr="00177ED9">
              <w:rPr>
                <w:rFonts w:eastAsia="Calibri" w:cs="Arial"/>
                <w:sz w:val="22"/>
                <w:szCs w:val="22"/>
                <w:lang w:val="es-CO" w:eastAsia="en-US"/>
              </w:rPr>
              <w:t>tuvo como objeto regular los términos y procedimientos que se aplicarán a la negociación entre las organizaciones sindicales de empleados públicos y las entidades públicas</w:t>
            </w:r>
            <w:r>
              <w:rPr>
                <w:rFonts w:eastAsia="Calibri" w:cs="Arial"/>
                <w:sz w:val="22"/>
                <w:szCs w:val="22"/>
                <w:lang w:val="es-CO" w:eastAsia="en-US"/>
              </w:rPr>
              <w:t>,</w:t>
            </w:r>
            <w:r w:rsidR="00177ED9" w:rsidRPr="00177ED9">
              <w:rPr>
                <w:rFonts w:eastAsia="Calibri" w:cs="Arial"/>
                <w:sz w:val="22"/>
                <w:szCs w:val="22"/>
                <w:lang w:val="es-CO" w:eastAsia="en-US"/>
              </w:rPr>
              <w:t xml:space="preserve"> en la determinación de las condiciones de empleo de los empleados públicos de las entidades públicas del orden nacional, depar</w:t>
            </w:r>
            <w:r>
              <w:rPr>
                <w:rFonts w:eastAsia="Calibri" w:cs="Arial"/>
                <w:sz w:val="22"/>
                <w:szCs w:val="22"/>
                <w:lang w:val="es-CO" w:eastAsia="en-US"/>
              </w:rPr>
              <w:t>tamental, distrital y municipal,</w:t>
            </w:r>
            <w:r w:rsidR="00177ED9" w:rsidRPr="00177ED9">
              <w:rPr>
                <w:rFonts w:eastAsia="Calibri" w:cs="Arial"/>
                <w:sz w:val="22"/>
                <w:szCs w:val="22"/>
                <w:lang w:val="es-CO" w:eastAsia="en-US"/>
              </w:rPr>
              <w:t xml:space="preserve"> los organismos de control, la </w:t>
            </w:r>
            <w:r>
              <w:rPr>
                <w:rFonts w:eastAsia="Calibri" w:cs="Arial"/>
                <w:sz w:val="22"/>
                <w:szCs w:val="22"/>
                <w:lang w:val="es-CO" w:eastAsia="en-US"/>
              </w:rPr>
              <w:t>o</w:t>
            </w:r>
            <w:r w:rsidR="00177ED9" w:rsidRPr="00177ED9">
              <w:rPr>
                <w:rFonts w:eastAsia="Calibri" w:cs="Arial"/>
                <w:sz w:val="22"/>
                <w:szCs w:val="22"/>
                <w:lang w:val="es-CO" w:eastAsia="en-US"/>
              </w:rPr>
              <w:t xml:space="preserve">rganización </w:t>
            </w:r>
            <w:r>
              <w:rPr>
                <w:rFonts w:eastAsia="Calibri" w:cs="Arial"/>
                <w:sz w:val="22"/>
                <w:szCs w:val="22"/>
                <w:lang w:val="es-CO" w:eastAsia="en-US"/>
              </w:rPr>
              <w:t>e</w:t>
            </w:r>
            <w:r w:rsidR="00177ED9" w:rsidRPr="00177ED9">
              <w:rPr>
                <w:rFonts w:eastAsia="Calibri" w:cs="Arial"/>
                <w:sz w:val="22"/>
                <w:szCs w:val="22"/>
                <w:lang w:val="es-CO" w:eastAsia="en-US"/>
              </w:rPr>
              <w:t>lectoral y los órganos autónomos e independientes</w:t>
            </w:r>
            <w:r>
              <w:rPr>
                <w:rFonts w:eastAsia="Calibri" w:cs="Arial"/>
                <w:sz w:val="22"/>
                <w:szCs w:val="22"/>
                <w:lang w:val="es-CO" w:eastAsia="en-US"/>
              </w:rPr>
              <w:t>,</w:t>
            </w:r>
            <w:r w:rsidR="00177ED9" w:rsidRPr="00177ED9">
              <w:rPr>
                <w:rFonts w:eastAsia="Calibri" w:cs="Arial"/>
                <w:sz w:val="22"/>
                <w:szCs w:val="22"/>
                <w:lang w:val="es-CO" w:eastAsia="en-US"/>
              </w:rPr>
              <w:t xml:space="preserve"> y reglamentó los artículos 7° y 8° de la Ley 411 de 1997 en lo relativo a los procedimientos de negociación y solución de controversias con las organizaciones de empleados públicos.</w:t>
            </w:r>
          </w:p>
          <w:p w14:paraId="7EB7AA32" w14:textId="77777777" w:rsidR="00177ED9" w:rsidRPr="00177ED9" w:rsidRDefault="00177ED9" w:rsidP="00177ED9">
            <w:pPr>
              <w:autoSpaceDE w:val="0"/>
              <w:autoSpaceDN w:val="0"/>
              <w:adjustRightInd w:val="0"/>
              <w:jc w:val="both"/>
              <w:rPr>
                <w:rFonts w:eastAsia="Calibri" w:cs="Arial"/>
                <w:sz w:val="22"/>
                <w:szCs w:val="22"/>
                <w:lang w:val="es-CO" w:eastAsia="en-US"/>
              </w:rPr>
            </w:pPr>
          </w:p>
          <w:p w14:paraId="27061185" w14:textId="67E34039" w:rsidR="00177ED9" w:rsidRPr="00FB0936" w:rsidRDefault="00150C81" w:rsidP="00177ED9">
            <w:pPr>
              <w:autoSpaceDE w:val="0"/>
              <w:autoSpaceDN w:val="0"/>
              <w:adjustRightInd w:val="0"/>
              <w:jc w:val="both"/>
              <w:rPr>
                <w:rFonts w:eastAsia="Calibri" w:cs="Arial"/>
                <w:iCs/>
                <w:sz w:val="22"/>
                <w:szCs w:val="22"/>
                <w:lang w:val="es-CO" w:eastAsia="en-US"/>
              </w:rPr>
            </w:pPr>
            <w:r>
              <w:rPr>
                <w:rFonts w:eastAsia="Calibri" w:cs="Arial"/>
                <w:sz w:val="22"/>
                <w:szCs w:val="22"/>
                <w:lang w:val="es-CO" w:eastAsia="en-US"/>
              </w:rPr>
              <w:t xml:space="preserve">Posteriormente, el </w:t>
            </w:r>
            <w:r w:rsidR="00C40FDF">
              <w:rPr>
                <w:rFonts w:eastAsia="Calibri" w:cs="Arial"/>
                <w:sz w:val="22"/>
                <w:szCs w:val="22"/>
                <w:lang w:val="es-CO" w:eastAsia="en-US"/>
              </w:rPr>
              <w:t>d</w:t>
            </w:r>
            <w:r w:rsidR="00177ED9" w:rsidRPr="00177ED9">
              <w:rPr>
                <w:rFonts w:eastAsia="Calibri" w:cs="Arial"/>
                <w:sz w:val="22"/>
                <w:szCs w:val="22"/>
                <w:lang w:val="es-CO" w:eastAsia="en-US"/>
              </w:rPr>
              <w:t>ecreto</w:t>
            </w:r>
            <w:r>
              <w:rPr>
                <w:rFonts w:eastAsia="Calibri" w:cs="Arial"/>
                <w:sz w:val="22"/>
                <w:szCs w:val="22"/>
                <w:lang w:val="es-CO" w:eastAsia="en-US"/>
              </w:rPr>
              <w:t xml:space="preserve"> en mención</w:t>
            </w:r>
            <w:r w:rsidR="00177ED9" w:rsidRPr="00177ED9">
              <w:rPr>
                <w:rFonts w:eastAsia="Calibri" w:cs="Arial"/>
                <w:sz w:val="22"/>
                <w:szCs w:val="22"/>
                <w:lang w:val="es-CO" w:eastAsia="en-US"/>
              </w:rPr>
              <w:t xml:space="preserve"> fue derogad</w:t>
            </w:r>
            <w:r>
              <w:rPr>
                <w:rFonts w:eastAsia="Calibri" w:cs="Arial"/>
                <w:sz w:val="22"/>
                <w:szCs w:val="22"/>
                <w:lang w:val="es-CO" w:eastAsia="en-US"/>
              </w:rPr>
              <w:t>o por</w:t>
            </w:r>
            <w:r w:rsidR="00C40FDF">
              <w:rPr>
                <w:rFonts w:eastAsia="Calibri" w:cs="Arial"/>
                <w:sz w:val="22"/>
                <w:szCs w:val="22"/>
                <w:lang w:val="es-CO" w:eastAsia="en-US"/>
              </w:rPr>
              <w:t xml:space="preserve"> el d</w:t>
            </w:r>
            <w:r w:rsidR="00A85188">
              <w:rPr>
                <w:rFonts w:eastAsia="Calibri" w:cs="Arial"/>
                <w:sz w:val="22"/>
                <w:szCs w:val="22"/>
                <w:lang w:val="es-CO" w:eastAsia="en-US"/>
              </w:rPr>
              <w:t>ecreto 160 de 2014, el que</w:t>
            </w:r>
            <w:r>
              <w:rPr>
                <w:rFonts w:eastAsia="Calibri" w:cs="Arial"/>
                <w:sz w:val="22"/>
                <w:szCs w:val="22"/>
                <w:lang w:val="es-CO" w:eastAsia="en-US"/>
              </w:rPr>
              <w:t xml:space="preserve"> fue</w:t>
            </w:r>
            <w:r w:rsidR="00177ED9" w:rsidRPr="00177ED9">
              <w:rPr>
                <w:rFonts w:eastAsia="Calibri" w:cs="Arial"/>
                <w:sz w:val="22"/>
                <w:szCs w:val="22"/>
                <w:lang w:val="es-CO" w:eastAsia="en-US"/>
              </w:rPr>
              <w:t xml:space="preserve"> incorporado al Decreto 1072 del 26 de mayo de 2015</w:t>
            </w:r>
            <w:r w:rsidR="00177ED9" w:rsidRPr="00177ED9">
              <w:rPr>
                <w:rFonts w:cs="Arial"/>
                <w:sz w:val="22"/>
                <w:szCs w:val="22"/>
              </w:rPr>
              <w:t xml:space="preserve"> “</w:t>
            </w:r>
            <w:r w:rsidR="00177ED9" w:rsidRPr="00177ED9">
              <w:rPr>
                <w:rFonts w:eastAsia="Calibri" w:cs="Arial"/>
                <w:sz w:val="22"/>
                <w:szCs w:val="22"/>
                <w:lang w:val="es-CO" w:eastAsia="en-US"/>
              </w:rPr>
              <w:t>Por medio del cual se expide el Decreto Único Reglamentario del Sector Trabajo”</w:t>
            </w:r>
            <w:r w:rsidR="00A85188">
              <w:rPr>
                <w:rFonts w:eastAsia="Calibri" w:cs="Arial"/>
                <w:sz w:val="22"/>
                <w:szCs w:val="22"/>
                <w:lang w:val="es-CO" w:eastAsia="en-US"/>
              </w:rPr>
              <w:t xml:space="preserve"> y, a su vez, reglamenta la ley 411 de 1997, la que en su artículo </w:t>
            </w:r>
            <w:r w:rsidR="00177ED9" w:rsidRPr="00A85188">
              <w:rPr>
                <w:rFonts w:eastAsia="Calibri" w:cs="Arial"/>
                <w:iCs/>
                <w:sz w:val="22"/>
                <w:szCs w:val="22"/>
                <w:lang w:val="es-CO" w:eastAsia="en-US"/>
              </w:rPr>
              <w:t>7 pr</w:t>
            </w:r>
            <w:r w:rsidR="00A85188">
              <w:rPr>
                <w:rFonts w:eastAsia="Calibri" w:cs="Arial"/>
                <w:iCs/>
                <w:sz w:val="22"/>
                <w:szCs w:val="22"/>
                <w:lang w:val="es-CO" w:eastAsia="en-US"/>
              </w:rPr>
              <w:t xml:space="preserve">evé la necesidad de adoptar </w:t>
            </w:r>
            <w:r w:rsidR="00177ED9" w:rsidRPr="00A85188">
              <w:rPr>
                <w:rFonts w:eastAsia="Calibri" w:cs="Arial"/>
                <w:iCs/>
                <w:sz w:val="22"/>
                <w:szCs w:val="22"/>
                <w:lang w:val="es-CO" w:eastAsia="en-US"/>
              </w:rPr>
              <w:t>"medidas adecuadas a las condiciones</w:t>
            </w:r>
            <w:r w:rsidR="00A85188">
              <w:rPr>
                <w:rFonts w:eastAsia="Calibri" w:cs="Arial"/>
                <w:iCs/>
                <w:sz w:val="22"/>
                <w:szCs w:val="22"/>
                <w:lang w:val="es-CO" w:eastAsia="en-US"/>
              </w:rPr>
              <w:t xml:space="preserve"> nacionales para estimular y fo</w:t>
            </w:r>
            <w:r w:rsidR="00177ED9" w:rsidRPr="00A85188">
              <w:rPr>
                <w:rFonts w:eastAsia="Calibri" w:cs="Arial"/>
                <w:iCs/>
                <w:sz w:val="22"/>
                <w:szCs w:val="22"/>
                <w:lang w:val="es-CO" w:eastAsia="en-US"/>
              </w:rPr>
              <w:t>mentar el pleno desarrollo y utilización de procedimientos de negociación entre las autoridades públicas competentes y las organizaciones de empleados públicos"</w:t>
            </w:r>
            <w:r w:rsidR="00FB0936">
              <w:rPr>
                <w:rFonts w:eastAsia="Calibri" w:cs="Arial"/>
                <w:iCs/>
                <w:sz w:val="22"/>
                <w:szCs w:val="22"/>
                <w:lang w:val="es-CO" w:eastAsia="en-US"/>
              </w:rPr>
              <w:t>, así como la utilización de mecanismos de solución de conflictos laborales tales como la mediación, la conciliación y el arbitraje, de acuerdo con lo dispuesto en el artículo 8 de la misma norma legal.</w:t>
            </w:r>
          </w:p>
          <w:p w14:paraId="21F3F34E" w14:textId="77777777" w:rsidR="00E91C8C" w:rsidRPr="00E91C8C" w:rsidRDefault="00E91C8C" w:rsidP="00177ED9">
            <w:pPr>
              <w:autoSpaceDE w:val="0"/>
              <w:autoSpaceDN w:val="0"/>
              <w:adjustRightInd w:val="0"/>
              <w:jc w:val="both"/>
              <w:rPr>
                <w:rFonts w:eastAsia="Calibri" w:cs="Arial"/>
                <w:iCs/>
                <w:sz w:val="22"/>
                <w:szCs w:val="22"/>
                <w:lang w:val="es-CO" w:eastAsia="en-US"/>
              </w:rPr>
            </w:pPr>
          </w:p>
          <w:p w14:paraId="7BAAEC5A" w14:textId="5DAA2285" w:rsidR="001D7177" w:rsidRPr="001D7177" w:rsidRDefault="009B291C" w:rsidP="001D7177">
            <w:pPr>
              <w:spacing w:line="276" w:lineRule="auto"/>
              <w:jc w:val="both"/>
              <w:rPr>
                <w:rFonts w:cs="Arial"/>
                <w:sz w:val="22"/>
                <w:szCs w:val="22"/>
                <w:lang w:val="es-ES_tradnl"/>
              </w:rPr>
            </w:pPr>
            <w:r w:rsidRPr="00FB0936">
              <w:rPr>
                <w:rFonts w:cs="Arial"/>
                <w:sz w:val="22"/>
                <w:szCs w:val="22"/>
                <w:lang w:val="es-ES_tradnl"/>
              </w:rPr>
              <w:t>C</w:t>
            </w:r>
            <w:r w:rsidR="001D7177" w:rsidRPr="00FB0936">
              <w:rPr>
                <w:rFonts w:cs="Arial"/>
                <w:sz w:val="22"/>
                <w:szCs w:val="22"/>
                <w:lang w:val="es-ES_tradnl"/>
              </w:rPr>
              <w:t>on la aplicación</w:t>
            </w:r>
            <w:r w:rsidR="00E91C8C">
              <w:rPr>
                <w:rFonts w:cs="Arial"/>
                <w:sz w:val="22"/>
                <w:szCs w:val="22"/>
                <w:lang w:val="es-ES_tradnl"/>
              </w:rPr>
              <w:t xml:space="preserve"> práctica</w:t>
            </w:r>
            <w:r w:rsidR="001D7177" w:rsidRPr="00FB0936">
              <w:rPr>
                <w:rFonts w:cs="Arial"/>
                <w:sz w:val="22"/>
                <w:szCs w:val="22"/>
                <w:lang w:val="es-ES_tradnl"/>
              </w:rPr>
              <w:t xml:space="preserve"> de los artículos 2.2.2.4.1 a 2.2.2.4.15 del Decreto Único Reglamentario del Sector Trabajo 1072 de 2015, se ha encontrado que existen</w:t>
            </w:r>
            <w:r w:rsidR="00E91C8C">
              <w:rPr>
                <w:rFonts w:cs="Arial"/>
                <w:sz w:val="22"/>
                <w:szCs w:val="22"/>
                <w:lang w:val="es-ES_tradnl"/>
              </w:rPr>
              <w:t xml:space="preserve"> algunos vacíos normativos y de carácter</w:t>
            </w:r>
            <w:r w:rsidR="001D7177" w:rsidRPr="00FB0936">
              <w:rPr>
                <w:rFonts w:cs="Arial"/>
                <w:sz w:val="22"/>
                <w:szCs w:val="22"/>
                <w:lang w:val="es-ES_tradnl"/>
              </w:rPr>
              <w:t xml:space="preserve"> metodológico </w:t>
            </w:r>
            <w:r w:rsidR="00E91C8C">
              <w:rPr>
                <w:rFonts w:cs="Arial"/>
                <w:sz w:val="22"/>
                <w:szCs w:val="22"/>
                <w:lang w:val="es-ES_tradnl"/>
              </w:rPr>
              <w:t>que impiden avanzar de manera eficiente y efectiva</w:t>
            </w:r>
            <w:r w:rsidR="001D7177" w:rsidRPr="00FB0936">
              <w:rPr>
                <w:rFonts w:cs="Arial"/>
                <w:sz w:val="22"/>
                <w:szCs w:val="22"/>
                <w:lang w:val="es-ES_tradnl"/>
              </w:rPr>
              <w:t xml:space="preserve"> el desarrollo de la negociación colectiva del sector público, en especial </w:t>
            </w:r>
            <w:r w:rsidR="00F933E0">
              <w:rPr>
                <w:rFonts w:cs="Arial"/>
                <w:sz w:val="22"/>
                <w:szCs w:val="22"/>
                <w:lang w:val="es-ES_tradnl"/>
              </w:rPr>
              <w:t xml:space="preserve">en </w:t>
            </w:r>
            <w:r w:rsidR="001D7177" w:rsidRPr="00FB0936">
              <w:rPr>
                <w:rFonts w:cs="Arial"/>
                <w:sz w:val="22"/>
                <w:szCs w:val="22"/>
                <w:lang w:val="es-ES_tradnl"/>
              </w:rPr>
              <w:t xml:space="preserve">aquellos </w:t>
            </w:r>
            <w:r w:rsidR="00E91C8C">
              <w:rPr>
                <w:rFonts w:cs="Arial"/>
                <w:sz w:val="22"/>
                <w:szCs w:val="22"/>
                <w:lang w:val="es-ES_tradnl"/>
              </w:rPr>
              <w:t xml:space="preserve">aspectos </w:t>
            </w:r>
            <w:r w:rsidR="00F933E0">
              <w:rPr>
                <w:rFonts w:cs="Arial"/>
                <w:sz w:val="22"/>
                <w:szCs w:val="22"/>
                <w:lang w:val="es-ES_tradnl"/>
              </w:rPr>
              <w:t>relacionados con la</w:t>
            </w:r>
            <w:r w:rsidR="001D7177" w:rsidRPr="00FB0936">
              <w:rPr>
                <w:rFonts w:cs="Arial"/>
                <w:sz w:val="22"/>
                <w:szCs w:val="22"/>
                <w:lang w:val="es-ES_tradnl"/>
              </w:rPr>
              <w:t xml:space="preserve"> </w:t>
            </w:r>
            <w:r w:rsidR="00F933E0">
              <w:rPr>
                <w:rFonts w:cs="Arial"/>
                <w:sz w:val="22"/>
                <w:szCs w:val="22"/>
                <w:lang w:val="es-ES_tradnl"/>
              </w:rPr>
              <w:t>s</w:t>
            </w:r>
            <w:r w:rsidR="001D7177" w:rsidRPr="00FB0936">
              <w:rPr>
                <w:rFonts w:cs="Arial"/>
                <w:sz w:val="22"/>
                <w:szCs w:val="22"/>
                <w:lang w:val="es-ES_tradnl"/>
              </w:rPr>
              <w:t xml:space="preserve">elección de los representantes de los sindicatos en las mesas de negociación, </w:t>
            </w:r>
            <w:r w:rsidR="00E91C8C">
              <w:rPr>
                <w:rFonts w:cs="Arial"/>
                <w:sz w:val="22"/>
                <w:szCs w:val="22"/>
                <w:lang w:val="es-ES_tradnl"/>
              </w:rPr>
              <w:t>la</w:t>
            </w:r>
            <w:r w:rsidR="00F933E0">
              <w:rPr>
                <w:rFonts w:cs="Arial"/>
                <w:sz w:val="22"/>
                <w:szCs w:val="22"/>
                <w:lang w:val="es-ES_tradnl"/>
              </w:rPr>
              <w:t xml:space="preserve"> debida</w:t>
            </w:r>
            <w:r w:rsidR="00E91C8C">
              <w:rPr>
                <w:rFonts w:cs="Arial"/>
                <w:sz w:val="22"/>
                <w:szCs w:val="22"/>
                <w:lang w:val="es-ES_tradnl"/>
              </w:rPr>
              <w:t xml:space="preserve"> aplicación </w:t>
            </w:r>
            <w:r w:rsidR="00177ED9" w:rsidRPr="00FB0936">
              <w:rPr>
                <w:rFonts w:cs="Arial"/>
                <w:sz w:val="22"/>
                <w:szCs w:val="22"/>
                <w:lang w:val="es-ES_tradnl"/>
              </w:rPr>
              <w:t>del principio de unidad en la negociación colectiva</w:t>
            </w:r>
            <w:r w:rsidR="00F933E0">
              <w:rPr>
                <w:rFonts w:cs="Arial"/>
                <w:sz w:val="22"/>
                <w:szCs w:val="22"/>
                <w:lang w:val="es-ES_tradnl"/>
              </w:rPr>
              <w:t xml:space="preserve"> principalmente en lo referente a la unificación</w:t>
            </w:r>
            <w:r w:rsidR="00177ED9" w:rsidRPr="00FB0936">
              <w:rPr>
                <w:rFonts w:cs="Arial"/>
                <w:sz w:val="22"/>
                <w:szCs w:val="22"/>
                <w:lang w:val="es-ES_tradnl"/>
              </w:rPr>
              <w:t xml:space="preserve"> de</w:t>
            </w:r>
            <w:r w:rsidR="00F933E0">
              <w:rPr>
                <w:rFonts w:cs="Arial"/>
                <w:sz w:val="22"/>
                <w:szCs w:val="22"/>
                <w:lang w:val="es-ES_tradnl"/>
              </w:rPr>
              <w:t xml:space="preserve"> los</w:t>
            </w:r>
            <w:r w:rsidR="00177ED9" w:rsidRPr="00FB0936">
              <w:rPr>
                <w:rFonts w:cs="Arial"/>
                <w:sz w:val="22"/>
                <w:szCs w:val="22"/>
                <w:lang w:val="es-ES_tradnl"/>
              </w:rPr>
              <w:t xml:space="preserve"> pliego</w:t>
            </w:r>
            <w:r w:rsidR="00F933E0">
              <w:rPr>
                <w:rFonts w:cs="Arial"/>
                <w:sz w:val="22"/>
                <w:szCs w:val="22"/>
                <w:lang w:val="es-ES_tradnl"/>
              </w:rPr>
              <w:t>s en uno solo</w:t>
            </w:r>
            <w:r w:rsidR="00177ED9" w:rsidRPr="00FB0936">
              <w:rPr>
                <w:rFonts w:cs="Arial"/>
                <w:sz w:val="22"/>
                <w:szCs w:val="22"/>
                <w:lang w:val="es-ES_tradnl"/>
              </w:rPr>
              <w:t xml:space="preserve">, </w:t>
            </w:r>
            <w:r w:rsidR="00F933E0">
              <w:rPr>
                <w:rFonts w:cs="Arial"/>
                <w:sz w:val="22"/>
                <w:szCs w:val="22"/>
                <w:lang w:val="es-ES_tradnl"/>
              </w:rPr>
              <w:t xml:space="preserve">la designación de una única </w:t>
            </w:r>
            <w:r w:rsidR="00177ED9" w:rsidRPr="00FB0936">
              <w:rPr>
                <w:rFonts w:cs="Arial"/>
                <w:sz w:val="22"/>
                <w:szCs w:val="22"/>
                <w:lang w:val="es-ES_tradnl"/>
              </w:rPr>
              <w:t xml:space="preserve">comisión negociadora </w:t>
            </w:r>
            <w:r w:rsidR="00177ED9" w:rsidRPr="00FB0936">
              <w:rPr>
                <w:rFonts w:cs="Arial"/>
                <w:sz w:val="22"/>
                <w:szCs w:val="22"/>
                <w:lang w:val="es-ES_tradnl"/>
              </w:rPr>
              <w:lastRenderedPageBreak/>
              <w:t xml:space="preserve">sindical, </w:t>
            </w:r>
            <w:r w:rsidR="00F933E0">
              <w:rPr>
                <w:rFonts w:cs="Arial"/>
                <w:sz w:val="22"/>
                <w:szCs w:val="22"/>
                <w:lang w:val="es-ES_tradnl"/>
              </w:rPr>
              <w:t xml:space="preserve">la instalación de una única </w:t>
            </w:r>
            <w:r w:rsidR="00177ED9" w:rsidRPr="00FB0936">
              <w:rPr>
                <w:rFonts w:cs="Arial"/>
                <w:sz w:val="22"/>
                <w:szCs w:val="22"/>
                <w:lang w:val="es-ES_tradnl"/>
              </w:rPr>
              <w:t xml:space="preserve">mesa de negociación y </w:t>
            </w:r>
            <w:r w:rsidR="00F933E0">
              <w:rPr>
                <w:rFonts w:cs="Arial"/>
                <w:sz w:val="22"/>
                <w:szCs w:val="22"/>
                <w:lang w:val="es-ES_tradnl"/>
              </w:rPr>
              <w:t xml:space="preserve">la suscripción de un único acuerdo colectivo, así como también en la adopción de factores claros y determinantes que contengan la </w:t>
            </w:r>
            <w:r w:rsidR="001D7177" w:rsidRPr="00FB0936">
              <w:rPr>
                <w:rFonts w:cs="Arial"/>
                <w:sz w:val="22"/>
                <w:szCs w:val="22"/>
                <w:lang w:val="es-ES_tradnl"/>
              </w:rPr>
              <w:t>representatividad</w:t>
            </w:r>
            <w:r w:rsidR="00F933E0">
              <w:rPr>
                <w:rFonts w:cs="Arial"/>
                <w:sz w:val="22"/>
                <w:szCs w:val="22"/>
                <w:lang w:val="es-ES_tradnl"/>
              </w:rPr>
              <w:t xml:space="preserve"> sindical</w:t>
            </w:r>
            <w:r w:rsidR="001D7177" w:rsidRPr="00FB0936">
              <w:rPr>
                <w:rFonts w:cs="Arial"/>
                <w:sz w:val="22"/>
                <w:szCs w:val="22"/>
                <w:lang w:val="es-ES_tradnl"/>
              </w:rPr>
              <w:t>.</w:t>
            </w:r>
          </w:p>
          <w:p w14:paraId="673A3107" w14:textId="77777777" w:rsidR="001D7177" w:rsidRPr="001D7177" w:rsidRDefault="001D7177" w:rsidP="001D7177">
            <w:pPr>
              <w:spacing w:line="276" w:lineRule="auto"/>
              <w:jc w:val="both"/>
              <w:rPr>
                <w:rFonts w:cs="Arial"/>
                <w:sz w:val="22"/>
                <w:szCs w:val="22"/>
                <w:lang w:val="es-ES_tradnl"/>
              </w:rPr>
            </w:pPr>
          </w:p>
          <w:p w14:paraId="3E77CEF5" w14:textId="6D30905D" w:rsidR="001D7177" w:rsidRDefault="009B291C" w:rsidP="001D7177">
            <w:pPr>
              <w:spacing w:line="276" w:lineRule="auto"/>
              <w:jc w:val="both"/>
              <w:rPr>
                <w:sz w:val="22"/>
                <w:szCs w:val="22"/>
                <w:lang w:val="es-ES_tradnl"/>
              </w:rPr>
            </w:pPr>
            <w:r>
              <w:rPr>
                <w:rFonts w:cs="Arial"/>
                <w:sz w:val="22"/>
                <w:szCs w:val="22"/>
                <w:lang w:val="es-ES_tradnl"/>
              </w:rPr>
              <w:t>E</w:t>
            </w:r>
            <w:r w:rsidR="001D7177" w:rsidRPr="001D7177">
              <w:rPr>
                <w:rFonts w:cs="Arial"/>
                <w:sz w:val="22"/>
                <w:szCs w:val="22"/>
                <w:lang w:val="es-ES_tradnl"/>
              </w:rPr>
              <w:t>n aplicación de lo señalado en el Convenio 144</w:t>
            </w:r>
            <w:r w:rsidR="00FB0936">
              <w:rPr>
                <w:rFonts w:cs="Arial"/>
                <w:sz w:val="22"/>
                <w:szCs w:val="22"/>
                <w:lang w:val="es-ES_tradnl"/>
              </w:rPr>
              <w:t xml:space="preserve"> de 1976</w:t>
            </w:r>
            <w:r w:rsidR="001D7177" w:rsidRPr="001D7177">
              <w:rPr>
                <w:rFonts w:cs="Arial"/>
                <w:sz w:val="22"/>
                <w:szCs w:val="22"/>
                <w:lang w:val="es-ES_tradnl"/>
              </w:rPr>
              <w:t xml:space="preserve"> sobre consulta tripartita,</w:t>
            </w:r>
            <w:r w:rsidR="00A31820">
              <w:rPr>
                <w:rFonts w:cs="Arial"/>
                <w:sz w:val="22"/>
                <w:szCs w:val="22"/>
                <w:lang w:val="es-ES_tradnl"/>
              </w:rPr>
              <w:t xml:space="preserve"> ratificado por la Ley 410 de 1997,</w:t>
            </w:r>
            <w:r w:rsidR="001D7177" w:rsidRPr="001D7177">
              <w:rPr>
                <w:rFonts w:cs="Arial"/>
                <w:sz w:val="22"/>
                <w:szCs w:val="22"/>
                <w:lang w:val="es-ES_tradnl"/>
              </w:rPr>
              <w:t xml:space="preserve"> la presente modificación fue discutida y concertada con las</w:t>
            </w:r>
            <w:r w:rsidR="00177ED9">
              <w:rPr>
                <w:rFonts w:cs="Arial"/>
                <w:sz w:val="22"/>
                <w:szCs w:val="22"/>
                <w:lang w:val="es-ES_tradnl"/>
              </w:rPr>
              <w:t xml:space="preserve"> organizaciones sindicales más representativas que hacen parte de </w:t>
            </w:r>
            <w:r w:rsidR="001D7177" w:rsidRPr="001D7177">
              <w:rPr>
                <w:rFonts w:cs="Arial"/>
                <w:sz w:val="22"/>
                <w:szCs w:val="22"/>
                <w:lang w:val="es-ES_tradnl"/>
              </w:rPr>
              <w:t xml:space="preserve">la </w:t>
            </w:r>
            <w:r w:rsidR="001D7177" w:rsidRPr="001D7177">
              <w:rPr>
                <w:sz w:val="22"/>
                <w:szCs w:val="22"/>
                <w:lang w:val="es-ES_tradnl"/>
              </w:rPr>
              <w:t>Subcomisión del Sector Público de la Comisión Permanente de Concertación de Políticas Salariales y Laborales</w:t>
            </w:r>
            <w:r w:rsidR="003B447F">
              <w:rPr>
                <w:sz w:val="22"/>
                <w:szCs w:val="22"/>
                <w:lang w:val="es-ES_tradnl"/>
              </w:rPr>
              <w:t xml:space="preserve">, </w:t>
            </w:r>
            <w:r w:rsidR="003B447F">
              <w:rPr>
                <w:sz w:val="22"/>
                <w:szCs w:val="22"/>
              </w:rPr>
              <w:t xml:space="preserve">composición dispuesta en la Ley 278 de 1996 y Ley 990 de 2005. </w:t>
            </w:r>
          </w:p>
          <w:p w14:paraId="2F5E602C" w14:textId="77777777" w:rsidR="00177ED9" w:rsidRDefault="00177ED9" w:rsidP="001D7177">
            <w:pPr>
              <w:spacing w:line="276" w:lineRule="auto"/>
              <w:jc w:val="both"/>
              <w:rPr>
                <w:sz w:val="22"/>
                <w:szCs w:val="22"/>
                <w:lang w:val="es-ES_tradnl"/>
              </w:rPr>
            </w:pPr>
          </w:p>
          <w:p w14:paraId="4E80C56A" w14:textId="26542254" w:rsidR="00177ED9" w:rsidRDefault="00001D05" w:rsidP="003B447F">
            <w:pPr>
              <w:jc w:val="both"/>
              <w:rPr>
                <w:rFonts w:cs="Arial"/>
                <w:sz w:val="22"/>
                <w:szCs w:val="22"/>
                <w:lang w:val="es-ES_tradnl"/>
              </w:rPr>
            </w:pPr>
            <w:r>
              <w:rPr>
                <w:rFonts w:cs="Arial"/>
                <w:sz w:val="22"/>
                <w:szCs w:val="22"/>
                <w:lang w:val="es-ES_tradnl"/>
              </w:rPr>
              <w:t>Así mismo, e</w:t>
            </w:r>
            <w:r w:rsidR="00177ED9">
              <w:rPr>
                <w:rFonts w:cs="Arial"/>
                <w:sz w:val="22"/>
                <w:szCs w:val="22"/>
                <w:lang w:val="es-ES_tradnl"/>
              </w:rPr>
              <w:t>l presente proyecto de decreto</w:t>
            </w:r>
            <w:r>
              <w:rPr>
                <w:rFonts w:cs="Arial"/>
                <w:sz w:val="22"/>
                <w:szCs w:val="22"/>
                <w:lang w:val="es-ES_tradnl"/>
              </w:rPr>
              <w:t xml:space="preserve"> modificatorio</w:t>
            </w:r>
            <w:r w:rsidR="00177ED9">
              <w:rPr>
                <w:rFonts w:cs="Arial"/>
                <w:sz w:val="22"/>
                <w:szCs w:val="22"/>
                <w:lang w:val="es-ES_tradnl"/>
              </w:rPr>
              <w:t xml:space="preserve"> recoge varios de los acuerdos plasmados en</w:t>
            </w:r>
            <w:r w:rsidR="00177ED9" w:rsidRPr="00177ED9">
              <w:rPr>
                <w:rFonts w:cs="Arial"/>
                <w:sz w:val="22"/>
                <w:szCs w:val="22"/>
                <w:lang w:val="es-ES_tradnl"/>
              </w:rPr>
              <w:t xml:space="preserve"> Acuerdos Colectivos suscritos entre las organizaciones sindicales de ámbito general en los años 2015, 2019 y 2023</w:t>
            </w:r>
            <w:r>
              <w:rPr>
                <w:rFonts w:cs="Arial"/>
                <w:sz w:val="22"/>
                <w:szCs w:val="22"/>
                <w:lang w:val="es-ES_tradnl"/>
              </w:rPr>
              <w:t>,</w:t>
            </w:r>
            <w:r w:rsidR="00177ED9" w:rsidRPr="00177ED9">
              <w:rPr>
                <w:rFonts w:cs="Arial"/>
                <w:sz w:val="22"/>
                <w:szCs w:val="22"/>
                <w:lang w:val="es-ES_tradnl"/>
              </w:rPr>
              <w:t xml:space="preserve"> en los cuales se incluyeron dist</w:t>
            </w:r>
            <w:r>
              <w:rPr>
                <w:rFonts w:cs="Arial"/>
                <w:sz w:val="22"/>
                <w:szCs w:val="22"/>
                <w:lang w:val="es-ES_tradnl"/>
              </w:rPr>
              <w:t>intos temas que ahora se recogen en este proyecto de</w:t>
            </w:r>
            <w:r w:rsidR="00177ED9" w:rsidRPr="00177ED9">
              <w:rPr>
                <w:rFonts w:cs="Arial"/>
                <w:sz w:val="22"/>
                <w:szCs w:val="22"/>
                <w:lang w:val="es-ES_tradnl"/>
              </w:rPr>
              <w:t xml:space="preserve"> decreto</w:t>
            </w:r>
            <w:r>
              <w:rPr>
                <w:rFonts w:cs="Arial"/>
                <w:sz w:val="22"/>
                <w:szCs w:val="22"/>
                <w:lang w:val="es-ES_tradnl"/>
              </w:rPr>
              <w:t>, en aplicación de</w:t>
            </w:r>
            <w:r w:rsidR="00177ED9" w:rsidRPr="00177ED9">
              <w:rPr>
                <w:rFonts w:cs="Arial"/>
                <w:sz w:val="22"/>
                <w:szCs w:val="22"/>
                <w:lang w:val="es-ES_tradnl"/>
              </w:rPr>
              <w:t xml:space="preserve"> los principios de representatividad, racionalidad, proporcionalidad, participación, progresividad y no regresividad.</w:t>
            </w:r>
          </w:p>
          <w:p w14:paraId="0C0D87C7" w14:textId="77777777" w:rsidR="003B447F" w:rsidRPr="003C12E0" w:rsidRDefault="003B447F" w:rsidP="003B447F">
            <w:pPr>
              <w:jc w:val="both"/>
              <w:rPr>
                <w:rFonts w:cs="Arial"/>
                <w:sz w:val="22"/>
                <w:szCs w:val="22"/>
                <w:lang w:val="es-ES_tradnl"/>
              </w:rPr>
            </w:pPr>
          </w:p>
          <w:p w14:paraId="7603A07B" w14:textId="0A8492F4" w:rsidR="003B447F" w:rsidRPr="003C12E0" w:rsidRDefault="00AD1B17" w:rsidP="003B447F">
            <w:pPr>
              <w:jc w:val="both"/>
              <w:rPr>
                <w:sz w:val="22"/>
                <w:szCs w:val="22"/>
              </w:rPr>
            </w:pPr>
            <w:r w:rsidRPr="003C12E0">
              <w:rPr>
                <w:sz w:val="22"/>
                <w:szCs w:val="22"/>
              </w:rPr>
              <w:t xml:space="preserve">El </w:t>
            </w:r>
            <w:r w:rsidR="003B447F" w:rsidRPr="003C12E0">
              <w:rPr>
                <w:sz w:val="22"/>
                <w:szCs w:val="22"/>
              </w:rPr>
              <w:t xml:space="preserve">proyecto de </w:t>
            </w:r>
            <w:r w:rsidRPr="003C12E0">
              <w:rPr>
                <w:sz w:val="22"/>
                <w:szCs w:val="22"/>
              </w:rPr>
              <w:t>reforma</w:t>
            </w:r>
            <w:r w:rsidR="003B447F" w:rsidRPr="003C12E0">
              <w:rPr>
                <w:sz w:val="22"/>
                <w:szCs w:val="22"/>
              </w:rPr>
              <w:t xml:space="preserve"> al Decreto fue remitido vía correo electrónico a las Centrales Sindicales que conforman la Subcomisión de Sector Público de la Comisión Permanente de Concertación de Políticas Salariales y Laborales el día 05 de diciembre de 2023</w:t>
            </w:r>
            <w:r w:rsidRPr="003C12E0">
              <w:rPr>
                <w:sz w:val="22"/>
                <w:szCs w:val="22"/>
              </w:rPr>
              <w:t xml:space="preserve"> e</w:t>
            </w:r>
            <w:r w:rsidRPr="003C12E0">
              <w:rPr>
                <w:sz w:val="22"/>
                <w:szCs w:val="22"/>
              </w:rPr>
              <w:t xml:space="preserve">n el marco del proceso de consulta para </w:t>
            </w:r>
            <w:r w:rsidRPr="003C12E0">
              <w:rPr>
                <w:sz w:val="22"/>
                <w:szCs w:val="22"/>
              </w:rPr>
              <w:t xml:space="preserve">su </w:t>
            </w:r>
            <w:r w:rsidRPr="003C12E0">
              <w:rPr>
                <w:sz w:val="22"/>
                <w:szCs w:val="22"/>
              </w:rPr>
              <w:t>modificación</w:t>
            </w:r>
            <w:r w:rsidR="003B447F" w:rsidRPr="003C12E0">
              <w:rPr>
                <w:sz w:val="22"/>
                <w:szCs w:val="22"/>
              </w:rPr>
              <w:t xml:space="preserve">. </w:t>
            </w:r>
          </w:p>
          <w:p w14:paraId="1BF5E125" w14:textId="77777777" w:rsidR="00074F70" w:rsidRPr="003C12E0" w:rsidRDefault="00074F70" w:rsidP="001D7177">
            <w:pPr>
              <w:spacing w:line="276" w:lineRule="auto"/>
              <w:jc w:val="both"/>
              <w:rPr>
                <w:rFonts w:cs="Arial"/>
                <w:sz w:val="22"/>
                <w:szCs w:val="22"/>
                <w:lang w:val="es-ES_tradnl"/>
              </w:rPr>
            </w:pPr>
          </w:p>
          <w:p w14:paraId="2829267B" w14:textId="1C2A4D6D" w:rsidR="003B447F" w:rsidRPr="003C12E0" w:rsidRDefault="00C40FDF" w:rsidP="00651107">
            <w:pPr>
              <w:jc w:val="both"/>
              <w:rPr>
                <w:sz w:val="22"/>
                <w:szCs w:val="22"/>
              </w:rPr>
            </w:pPr>
            <w:r w:rsidRPr="003C12E0">
              <w:rPr>
                <w:rFonts w:cs="Arial"/>
                <w:sz w:val="22"/>
                <w:szCs w:val="22"/>
                <w:lang w:val="es-ES_tradnl"/>
              </w:rPr>
              <w:t>Igualmente, el proyecto de d</w:t>
            </w:r>
            <w:r w:rsidR="00074F70" w:rsidRPr="003C12E0">
              <w:rPr>
                <w:rFonts w:cs="Arial"/>
                <w:sz w:val="22"/>
                <w:szCs w:val="22"/>
                <w:lang w:val="es-ES_tradnl"/>
              </w:rPr>
              <w:t>ecreto</w:t>
            </w:r>
            <w:r w:rsidR="00651107" w:rsidRPr="003C12E0">
              <w:rPr>
                <w:rFonts w:cs="Arial"/>
                <w:sz w:val="22"/>
                <w:szCs w:val="22"/>
                <w:lang w:val="es-ES_tradnl"/>
              </w:rPr>
              <w:t xml:space="preserve"> </w:t>
            </w:r>
            <w:r w:rsidRPr="003C12E0">
              <w:rPr>
                <w:sz w:val="22"/>
                <w:szCs w:val="22"/>
              </w:rPr>
              <w:t xml:space="preserve">fue </w:t>
            </w:r>
            <w:r w:rsidR="003B447F" w:rsidRPr="003C12E0">
              <w:rPr>
                <w:sz w:val="22"/>
                <w:szCs w:val="22"/>
              </w:rPr>
              <w:t>sometido a proceso de consulta, socializado y discutido con las centrales sindicales más representativas, que hacen parte de la Subcomisión de Sector Público de la Comisión Permanente de Concertación de Políticas Salariales y Laborales, conforme a la composición dispuesta en la Ley 278 de 1996 y Ley 990 de 2005</w:t>
            </w:r>
            <w:r w:rsidR="00E45FEF">
              <w:rPr>
                <w:sz w:val="22"/>
                <w:szCs w:val="22"/>
              </w:rPr>
              <w:t xml:space="preserve"> </w:t>
            </w:r>
            <w:r w:rsidR="003B447F" w:rsidRPr="003C12E0">
              <w:rPr>
                <w:sz w:val="22"/>
                <w:szCs w:val="22"/>
              </w:rPr>
              <w:t>en reuni</w:t>
            </w:r>
            <w:r w:rsidR="00E45FEF">
              <w:rPr>
                <w:sz w:val="22"/>
                <w:szCs w:val="22"/>
              </w:rPr>
              <w:t>ones de los días 23 y 31 de octubre</w:t>
            </w:r>
            <w:r w:rsidR="00070A27">
              <w:rPr>
                <w:sz w:val="22"/>
                <w:szCs w:val="22"/>
              </w:rPr>
              <w:t>,</w:t>
            </w:r>
            <w:r w:rsidR="00E45FEF">
              <w:rPr>
                <w:sz w:val="22"/>
                <w:szCs w:val="22"/>
              </w:rPr>
              <w:t xml:space="preserve"> 16 de noviembre</w:t>
            </w:r>
            <w:r w:rsidR="00E04C35">
              <w:rPr>
                <w:sz w:val="22"/>
                <w:szCs w:val="22"/>
              </w:rPr>
              <w:t xml:space="preserve">, así como en la sesión de la </w:t>
            </w:r>
            <w:r w:rsidR="00E04C35" w:rsidRPr="00E04C35">
              <w:rPr>
                <w:sz w:val="22"/>
                <w:szCs w:val="22"/>
              </w:rPr>
              <w:t>Subcomisión de Sector Público de la Comisión Permanente de Concertación de Políticas Salariales y Laborales</w:t>
            </w:r>
            <w:r w:rsidR="00E04C35">
              <w:rPr>
                <w:sz w:val="22"/>
                <w:szCs w:val="22"/>
              </w:rPr>
              <w:t xml:space="preserve"> del</w:t>
            </w:r>
            <w:r w:rsidR="003B447F" w:rsidRPr="003C12E0">
              <w:rPr>
                <w:sz w:val="22"/>
                <w:szCs w:val="22"/>
              </w:rPr>
              <w:t xml:space="preserve"> 19 de diciembre de 2023. </w:t>
            </w:r>
          </w:p>
          <w:p w14:paraId="27E7384A" w14:textId="77777777" w:rsidR="002E4A97" w:rsidRDefault="002E4A97" w:rsidP="0075705D">
            <w:pPr>
              <w:autoSpaceDE w:val="0"/>
              <w:autoSpaceDN w:val="0"/>
              <w:adjustRightInd w:val="0"/>
              <w:jc w:val="both"/>
              <w:rPr>
                <w:rFonts w:eastAsia="Calibri" w:cs="Arial"/>
                <w:sz w:val="22"/>
                <w:szCs w:val="22"/>
                <w:lang w:val="es-CO" w:eastAsia="en-US"/>
              </w:rPr>
            </w:pPr>
          </w:p>
          <w:p w14:paraId="4ED4101B" w14:textId="77777777" w:rsidR="00177ED9" w:rsidRPr="00177ED9" w:rsidRDefault="00177ED9" w:rsidP="0075705D">
            <w:pPr>
              <w:autoSpaceDE w:val="0"/>
              <w:autoSpaceDN w:val="0"/>
              <w:adjustRightInd w:val="0"/>
              <w:jc w:val="both"/>
              <w:rPr>
                <w:rFonts w:eastAsia="Calibri" w:cs="Arial"/>
                <w:b/>
                <w:bCs/>
                <w:sz w:val="22"/>
                <w:szCs w:val="22"/>
                <w:lang w:val="es-CO" w:eastAsia="en-US"/>
              </w:rPr>
            </w:pPr>
          </w:p>
          <w:p w14:paraId="103C24C2" w14:textId="0C990CB7" w:rsidR="00177ED9" w:rsidRPr="00177ED9" w:rsidRDefault="00177ED9" w:rsidP="00177ED9">
            <w:pPr>
              <w:autoSpaceDE w:val="0"/>
              <w:autoSpaceDN w:val="0"/>
              <w:adjustRightInd w:val="0"/>
              <w:jc w:val="both"/>
              <w:rPr>
                <w:rFonts w:eastAsia="Calibri" w:cs="Arial"/>
                <w:b/>
                <w:bCs/>
                <w:sz w:val="22"/>
                <w:szCs w:val="22"/>
                <w:lang w:val="es-CO" w:eastAsia="en-US"/>
              </w:rPr>
            </w:pPr>
            <w:r w:rsidRPr="00177ED9">
              <w:rPr>
                <w:rFonts w:eastAsia="Calibri" w:cs="Arial"/>
                <w:b/>
                <w:bCs/>
                <w:sz w:val="22"/>
                <w:szCs w:val="22"/>
                <w:lang w:val="es-CO" w:eastAsia="en-US"/>
              </w:rPr>
              <w:t>1.2. RAZONES DE OPORTUNIDAD Y CONVENIENCIA PARA LA EXPEDICIÓN DEL DECRETO</w:t>
            </w:r>
          </w:p>
          <w:p w14:paraId="6E5AD35B" w14:textId="77777777" w:rsidR="00177ED9" w:rsidRPr="00177ED9" w:rsidRDefault="00177ED9" w:rsidP="00177ED9">
            <w:pPr>
              <w:autoSpaceDE w:val="0"/>
              <w:autoSpaceDN w:val="0"/>
              <w:adjustRightInd w:val="0"/>
              <w:jc w:val="both"/>
              <w:rPr>
                <w:rFonts w:eastAsia="Calibri" w:cs="Arial"/>
                <w:sz w:val="22"/>
                <w:szCs w:val="22"/>
                <w:lang w:val="es-CO" w:eastAsia="en-US"/>
              </w:rPr>
            </w:pPr>
          </w:p>
          <w:p w14:paraId="2D6B42B2" w14:textId="33FCAE3F" w:rsidR="00177ED9" w:rsidRPr="00177ED9" w:rsidRDefault="00177ED9" w:rsidP="00177ED9">
            <w:pPr>
              <w:autoSpaceDE w:val="0"/>
              <w:autoSpaceDN w:val="0"/>
              <w:adjustRightInd w:val="0"/>
              <w:jc w:val="both"/>
              <w:rPr>
                <w:rFonts w:eastAsia="Calibri" w:cs="Arial"/>
                <w:sz w:val="22"/>
                <w:szCs w:val="22"/>
                <w:lang w:val="es-CO" w:eastAsia="en-US"/>
              </w:rPr>
            </w:pPr>
            <w:r w:rsidRPr="00177ED9">
              <w:rPr>
                <w:rFonts w:eastAsia="Calibri" w:cs="Arial"/>
                <w:sz w:val="22"/>
                <w:szCs w:val="22"/>
                <w:lang w:val="es-CO" w:eastAsia="en-US"/>
              </w:rPr>
              <w:t>Es innegable que el decreto 160 de 2014, incorporado en el Capítulo 4 del Título 2 de la Parte 2 del Libro 2 del Decreto 1072 de 2015, Decreto Único Reglamentario del Sector Trabajo</w:t>
            </w:r>
            <w:r w:rsidR="00FD1FD8">
              <w:rPr>
                <w:rFonts w:eastAsia="Calibri" w:cs="Arial"/>
                <w:sz w:val="22"/>
                <w:szCs w:val="22"/>
                <w:lang w:val="es-CO" w:eastAsia="en-US"/>
              </w:rPr>
              <w:t>,</w:t>
            </w:r>
            <w:r w:rsidRPr="00177ED9">
              <w:rPr>
                <w:rFonts w:eastAsia="Calibri" w:cs="Arial"/>
                <w:sz w:val="22"/>
                <w:szCs w:val="22"/>
                <w:lang w:val="es-CO" w:eastAsia="en-US"/>
              </w:rPr>
              <w:t xml:space="preserve"> en lo relativo a los procedimientos de negociación y solución de controversias con las organizaciones de empleados públicos</w:t>
            </w:r>
            <w:r w:rsidR="00FD1FD8">
              <w:rPr>
                <w:rFonts w:eastAsia="Calibri" w:cs="Arial"/>
                <w:sz w:val="22"/>
                <w:szCs w:val="22"/>
                <w:lang w:val="es-CO" w:eastAsia="en-US"/>
              </w:rPr>
              <w:t>,</w:t>
            </w:r>
            <w:r w:rsidRPr="00177ED9">
              <w:rPr>
                <w:rFonts w:eastAsia="Calibri" w:cs="Arial"/>
                <w:sz w:val="22"/>
                <w:szCs w:val="22"/>
                <w:lang w:val="es-CO" w:eastAsia="en-US"/>
              </w:rPr>
              <w:t xml:space="preserve"> </w:t>
            </w:r>
            <w:r w:rsidR="00FD1FD8">
              <w:rPr>
                <w:rFonts w:eastAsia="Calibri" w:cs="Arial"/>
                <w:sz w:val="22"/>
                <w:szCs w:val="22"/>
                <w:lang w:val="es-CO" w:eastAsia="en-US"/>
              </w:rPr>
              <w:t xml:space="preserve">generó un avance importante </w:t>
            </w:r>
            <w:r w:rsidRPr="00177ED9">
              <w:rPr>
                <w:rFonts w:eastAsia="Calibri" w:cs="Arial"/>
                <w:sz w:val="22"/>
                <w:szCs w:val="22"/>
                <w:lang w:val="es-CO" w:eastAsia="en-US"/>
              </w:rPr>
              <w:t>en los proc</w:t>
            </w:r>
            <w:r w:rsidR="00FD1FD8">
              <w:rPr>
                <w:rFonts w:eastAsia="Calibri" w:cs="Arial"/>
                <w:sz w:val="22"/>
                <w:szCs w:val="22"/>
                <w:lang w:val="es-CO" w:eastAsia="en-US"/>
              </w:rPr>
              <w:t>esos de negociación colectiva con</w:t>
            </w:r>
            <w:r w:rsidRPr="00177ED9">
              <w:rPr>
                <w:rFonts w:eastAsia="Calibri" w:cs="Arial"/>
                <w:sz w:val="22"/>
                <w:szCs w:val="22"/>
                <w:lang w:val="es-CO" w:eastAsia="en-US"/>
              </w:rPr>
              <w:t xml:space="preserve"> los servidores públicos y</w:t>
            </w:r>
            <w:r w:rsidR="00FD1FD8">
              <w:rPr>
                <w:rFonts w:eastAsia="Calibri" w:cs="Arial"/>
                <w:sz w:val="22"/>
                <w:szCs w:val="22"/>
                <w:lang w:val="es-CO" w:eastAsia="en-US"/>
              </w:rPr>
              <w:t>,</w:t>
            </w:r>
            <w:r w:rsidRPr="00177ED9">
              <w:rPr>
                <w:rFonts w:eastAsia="Calibri" w:cs="Arial"/>
                <w:sz w:val="22"/>
                <w:szCs w:val="22"/>
                <w:lang w:val="es-CO" w:eastAsia="en-US"/>
              </w:rPr>
              <w:t xml:space="preserve"> sobre todo, en </w:t>
            </w:r>
            <w:r w:rsidR="00844ED2">
              <w:rPr>
                <w:rFonts w:eastAsia="Calibri" w:cs="Arial"/>
                <w:sz w:val="22"/>
                <w:szCs w:val="22"/>
                <w:lang w:val="es-CO" w:eastAsia="en-US"/>
              </w:rPr>
              <w:t>punto a lograr una</w:t>
            </w:r>
            <w:r w:rsidR="00FD1FD8">
              <w:rPr>
                <w:rFonts w:eastAsia="Calibri" w:cs="Arial"/>
                <w:sz w:val="22"/>
                <w:szCs w:val="22"/>
                <w:lang w:val="es-CO" w:eastAsia="en-US"/>
              </w:rPr>
              <w:t xml:space="preserve"> </w:t>
            </w:r>
            <w:r w:rsidRPr="00177ED9">
              <w:rPr>
                <w:rFonts w:eastAsia="Calibri" w:cs="Arial"/>
                <w:sz w:val="22"/>
                <w:szCs w:val="22"/>
                <w:lang w:val="es-CO" w:eastAsia="en-US"/>
              </w:rPr>
              <w:t xml:space="preserve">negociación multinivel </w:t>
            </w:r>
            <w:r w:rsidR="00FD1FD8">
              <w:rPr>
                <w:rFonts w:eastAsia="Calibri" w:cs="Arial"/>
                <w:sz w:val="22"/>
                <w:szCs w:val="22"/>
                <w:lang w:val="es-CO" w:eastAsia="en-US"/>
              </w:rPr>
              <w:t>(</w:t>
            </w:r>
            <w:r w:rsidR="00844ED2">
              <w:rPr>
                <w:rFonts w:eastAsia="Calibri" w:cs="Arial"/>
                <w:sz w:val="22"/>
                <w:szCs w:val="22"/>
                <w:lang w:val="es-CO" w:eastAsia="en-US"/>
              </w:rPr>
              <w:t xml:space="preserve">general y singular) </w:t>
            </w:r>
            <w:r w:rsidRPr="00177ED9">
              <w:rPr>
                <w:rFonts w:eastAsia="Calibri" w:cs="Arial"/>
                <w:sz w:val="22"/>
                <w:szCs w:val="22"/>
                <w:lang w:val="es-CO" w:eastAsia="en-US"/>
              </w:rPr>
              <w:t xml:space="preserve">en Colombia. Así lo ha destacado el informe de la Escuela Nacional Sindical del 16 de noviembre de 2019, que señaló: </w:t>
            </w:r>
          </w:p>
          <w:p w14:paraId="06EA6B3A" w14:textId="77777777" w:rsidR="00177ED9" w:rsidRPr="00177ED9" w:rsidRDefault="00177ED9" w:rsidP="00177ED9">
            <w:pPr>
              <w:autoSpaceDE w:val="0"/>
              <w:autoSpaceDN w:val="0"/>
              <w:adjustRightInd w:val="0"/>
              <w:jc w:val="both"/>
              <w:rPr>
                <w:rFonts w:eastAsia="Calibri" w:cs="Arial"/>
                <w:i/>
                <w:iCs/>
                <w:sz w:val="22"/>
                <w:szCs w:val="22"/>
                <w:lang w:val="es-CO" w:eastAsia="en-US"/>
              </w:rPr>
            </w:pPr>
          </w:p>
          <w:p w14:paraId="6A204B43" w14:textId="5B095BFF" w:rsidR="00177ED9" w:rsidRPr="00177ED9" w:rsidRDefault="00177ED9" w:rsidP="00177ED9">
            <w:pPr>
              <w:autoSpaceDE w:val="0"/>
              <w:autoSpaceDN w:val="0"/>
              <w:adjustRightInd w:val="0"/>
              <w:jc w:val="both"/>
              <w:rPr>
                <w:rFonts w:eastAsia="Calibri" w:cs="Arial"/>
                <w:i/>
                <w:iCs/>
                <w:sz w:val="22"/>
                <w:szCs w:val="22"/>
                <w:lang w:val="es-CO" w:eastAsia="en-US"/>
              </w:rPr>
            </w:pPr>
            <w:r w:rsidRPr="00177ED9">
              <w:rPr>
                <w:rFonts w:eastAsia="Calibri" w:cs="Arial"/>
                <w:i/>
                <w:iCs/>
                <w:sz w:val="22"/>
                <w:szCs w:val="22"/>
                <w:lang w:val="es-CO" w:eastAsia="en-US"/>
              </w:rPr>
              <w:t xml:space="preserve">“Algo en lo cual coinciden las organizaciones sindicales que representan a los trabajadores del sector público en Colombia, es que con la </w:t>
            </w:r>
            <w:proofErr w:type="gramStart"/>
            <w:r w:rsidRPr="00177ED9">
              <w:rPr>
                <w:rFonts w:eastAsia="Calibri" w:cs="Arial"/>
                <w:i/>
                <w:iCs/>
                <w:sz w:val="22"/>
                <w:szCs w:val="22"/>
                <w:lang w:val="es-CO" w:eastAsia="en-US"/>
              </w:rPr>
              <w:t>entrada en vigencia</w:t>
            </w:r>
            <w:proofErr w:type="gramEnd"/>
            <w:r w:rsidRPr="00177ED9">
              <w:rPr>
                <w:rFonts w:eastAsia="Calibri" w:cs="Arial"/>
                <w:i/>
                <w:iCs/>
                <w:sz w:val="22"/>
                <w:szCs w:val="22"/>
                <w:lang w:val="es-CO" w:eastAsia="en-US"/>
              </w:rPr>
              <w:t xml:space="preserve"> del Decreto 1092 de 2012 y posteriormente del 160 en 2014, la negociación colectiva en este sector ha tenido avances sustanciales en el último lustro</w:t>
            </w:r>
            <w:r w:rsidR="00844ED2">
              <w:rPr>
                <w:rFonts w:eastAsia="Calibri" w:cs="Arial"/>
                <w:i/>
                <w:iCs/>
                <w:sz w:val="22"/>
                <w:szCs w:val="22"/>
                <w:lang w:val="es-CO" w:eastAsia="en-US"/>
              </w:rPr>
              <w:t>”</w:t>
            </w:r>
            <w:r w:rsidRPr="00177ED9">
              <w:rPr>
                <w:rFonts w:eastAsia="Calibri" w:cs="Arial"/>
                <w:i/>
                <w:iCs/>
                <w:sz w:val="22"/>
                <w:szCs w:val="22"/>
                <w:lang w:val="es-CO" w:eastAsia="en-US"/>
              </w:rPr>
              <w:t>.</w:t>
            </w:r>
          </w:p>
          <w:p w14:paraId="73F43635" w14:textId="5508B01F" w:rsidR="00177ED9" w:rsidRDefault="00177ED9" w:rsidP="00177ED9">
            <w:pPr>
              <w:autoSpaceDE w:val="0"/>
              <w:autoSpaceDN w:val="0"/>
              <w:adjustRightInd w:val="0"/>
              <w:jc w:val="both"/>
              <w:rPr>
                <w:rFonts w:eastAsia="Calibri" w:cs="Arial"/>
                <w:iCs/>
                <w:sz w:val="22"/>
                <w:szCs w:val="22"/>
                <w:lang w:val="es-CO" w:eastAsia="en-US"/>
              </w:rPr>
            </w:pPr>
          </w:p>
          <w:p w14:paraId="4959802F" w14:textId="140210EE" w:rsidR="00844ED2" w:rsidRDefault="00844ED2" w:rsidP="00177ED9">
            <w:pPr>
              <w:autoSpaceDE w:val="0"/>
              <w:autoSpaceDN w:val="0"/>
              <w:adjustRightInd w:val="0"/>
              <w:jc w:val="both"/>
              <w:rPr>
                <w:rFonts w:eastAsia="Calibri" w:cs="Arial"/>
                <w:iCs/>
                <w:sz w:val="22"/>
                <w:szCs w:val="22"/>
                <w:lang w:val="es-CO" w:eastAsia="en-US"/>
              </w:rPr>
            </w:pPr>
            <w:r>
              <w:rPr>
                <w:rFonts w:eastAsia="Calibri" w:cs="Arial"/>
                <w:iCs/>
                <w:sz w:val="22"/>
                <w:szCs w:val="22"/>
                <w:lang w:val="es-CO" w:eastAsia="en-US"/>
              </w:rPr>
              <w:t>En el mismo informe se destacan importantes apreciaciones y consideraciones que hicieron destacados dirigentes sindicales, representantes de las Centrales de trabajadores y empleados públicos, así:</w:t>
            </w:r>
          </w:p>
          <w:p w14:paraId="30834030" w14:textId="77777777" w:rsidR="00844ED2" w:rsidRPr="00844ED2" w:rsidRDefault="00844ED2" w:rsidP="00177ED9">
            <w:pPr>
              <w:autoSpaceDE w:val="0"/>
              <w:autoSpaceDN w:val="0"/>
              <w:adjustRightInd w:val="0"/>
              <w:jc w:val="both"/>
              <w:rPr>
                <w:rFonts w:eastAsia="Calibri" w:cs="Arial"/>
                <w:iCs/>
                <w:sz w:val="22"/>
                <w:szCs w:val="22"/>
                <w:lang w:val="es-CO" w:eastAsia="en-US"/>
              </w:rPr>
            </w:pPr>
          </w:p>
          <w:p w14:paraId="7AD08C88" w14:textId="06C35E1D" w:rsidR="00177ED9" w:rsidRPr="00177ED9" w:rsidRDefault="008069F5" w:rsidP="00177ED9">
            <w:pPr>
              <w:autoSpaceDE w:val="0"/>
              <w:autoSpaceDN w:val="0"/>
              <w:adjustRightInd w:val="0"/>
              <w:jc w:val="both"/>
              <w:rPr>
                <w:rFonts w:eastAsia="Calibri" w:cs="Arial"/>
                <w:i/>
                <w:iCs/>
                <w:sz w:val="22"/>
                <w:szCs w:val="22"/>
                <w:lang w:val="es-CO" w:eastAsia="en-US"/>
              </w:rPr>
            </w:pPr>
            <w:r>
              <w:rPr>
                <w:rFonts w:eastAsia="Calibri" w:cs="Arial"/>
                <w:i/>
                <w:iCs/>
                <w:sz w:val="22"/>
                <w:szCs w:val="22"/>
                <w:lang w:val="es-CO" w:eastAsia="en-US"/>
              </w:rPr>
              <w:t xml:space="preserve">“Para </w:t>
            </w:r>
            <w:r w:rsidR="00177ED9" w:rsidRPr="00177ED9">
              <w:rPr>
                <w:rFonts w:eastAsia="Calibri" w:cs="Arial"/>
                <w:i/>
                <w:iCs/>
                <w:sz w:val="22"/>
                <w:szCs w:val="22"/>
                <w:lang w:val="es-CO" w:eastAsia="en-US"/>
              </w:rPr>
              <w:t>Francisco Maltés, encargado de los asuntos estatales del Comité Ejecutivo de la CUT, entre los avances importantes se cuenta el haber negociado algunas leyes, derogado otras, la ampliación de plantas de personal, entre otras conquistas. Para este dirigente, es un avance que los trabajadores estatales tengan la posibilidad de negociar tanto en temas salariales como en plantas de personal y políticas de bienestar familiar.</w:t>
            </w:r>
          </w:p>
          <w:p w14:paraId="2DAC3239" w14:textId="77777777" w:rsidR="00177ED9" w:rsidRPr="00177ED9" w:rsidRDefault="00177ED9" w:rsidP="00177ED9">
            <w:pPr>
              <w:autoSpaceDE w:val="0"/>
              <w:autoSpaceDN w:val="0"/>
              <w:adjustRightInd w:val="0"/>
              <w:jc w:val="both"/>
              <w:rPr>
                <w:rFonts w:eastAsia="Calibri" w:cs="Arial"/>
                <w:i/>
                <w:iCs/>
                <w:sz w:val="22"/>
                <w:szCs w:val="22"/>
                <w:lang w:val="es-CO" w:eastAsia="en-US"/>
              </w:rPr>
            </w:pPr>
          </w:p>
          <w:p w14:paraId="5B371AB7" w14:textId="77777777" w:rsidR="00177ED9" w:rsidRPr="00177ED9" w:rsidRDefault="00177ED9" w:rsidP="00177ED9">
            <w:pPr>
              <w:autoSpaceDE w:val="0"/>
              <w:autoSpaceDN w:val="0"/>
              <w:adjustRightInd w:val="0"/>
              <w:jc w:val="both"/>
              <w:rPr>
                <w:rFonts w:eastAsia="Calibri" w:cs="Arial"/>
                <w:i/>
                <w:iCs/>
                <w:sz w:val="22"/>
                <w:szCs w:val="22"/>
                <w:lang w:val="es-CO" w:eastAsia="en-US"/>
              </w:rPr>
            </w:pPr>
            <w:r w:rsidRPr="00177ED9">
              <w:rPr>
                <w:rFonts w:eastAsia="Calibri" w:cs="Arial"/>
                <w:i/>
                <w:iCs/>
                <w:sz w:val="22"/>
                <w:szCs w:val="22"/>
                <w:lang w:val="es-CO" w:eastAsia="en-US"/>
              </w:rPr>
              <w:t>Destaca que en la práctica es una negociación que funciona por rama económica, en la que el Gobierno Nacional representa al Estado. Asimismo, se está tratando de implementar la negociación por departamentos y municipios, para lo cual las subdirectivas sindicales presentan pliegos de solicitudes a los gobernadores y alcaldes, como también la negociación por entidades.</w:t>
            </w:r>
          </w:p>
          <w:p w14:paraId="6C08CF2C" w14:textId="77777777" w:rsidR="00177ED9" w:rsidRPr="00177ED9" w:rsidRDefault="00177ED9" w:rsidP="00177ED9">
            <w:pPr>
              <w:autoSpaceDE w:val="0"/>
              <w:autoSpaceDN w:val="0"/>
              <w:adjustRightInd w:val="0"/>
              <w:jc w:val="both"/>
              <w:rPr>
                <w:rFonts w:eastAsia="Calibri" w:cs="Arial"/>
                <w:i/>
                <w:iCs/>
                <w:sz w:val="22"/>
                <w:szCs w:val="22"/>
                <w:lang w:val="es-CO" w:eastAsia="en-US"/>
              </w:rPr>
            </w:pPr>
          </w:p>
          <w:p w14:paraId="2900AC05" w14:textId="329F0834" w:rsidR="00177ED9" w:rsidRPr="00177ED9" w:rsidRDefault="00177ED9" w:rsidP="00177ED9">
            <w:pPr>
              <w:autoSpaceDE w:val="0"/>
              <w:autoSpaceDN w:val="0"/>
              <w:adjustRightInd w:val="0"/>
              <w:jc w:val="both"/>
              <w:rPr>
                <w:rFonts w:eastAsia="Calibri" w:cs="Arial"/>
                <w:i/>
                <w:iCs/>
                <w:sz w:val="22"/>
                <w:szCs w:val="22"/>
                <w:lang w:val="es-CO" w:eastAsia="en-US"/>
              </w:rPr>
            </w:pPr>
            <w:r w:rsidRPr="00177ED9">
              <w:rPr>
                <w:rFonts w:eastAsia="Calibri" w:cs="Arial"/>
                <w:i/>
                <w:iCs/>
                <w:sz w:val="22"/>
                <w:szCs w:val="22"/>
                <w:lang w:val="es-CO" w:eastAsia="en-US"/>
              </w:rPr>
              <w:t>El Decreto 160 abrió un proceso de negociación que ha funcionado. Hemos logrado articular el esfuerzo de todas las organizaciones sindicales estatales y así tener más poder de negociación y movilización</w:t>
            </w:r>
            <w:r w:rsidR="008069F5">
              <w:rPr>
                <w:rFonts w:eastAsia="Calibri" w:cs="Arial"/>
                <w:i/>
                <w:iCs/>
                <w:sz w:val="22"/>
                <w:szCs w:val="22"/>
                <w:lang w:val="es-CO" w:eastAsia="en-US"/>
              </w:rPr>
              <w:t>”</w:t>
            </w:r>
            <w:r w:rsidRPr="00177ED9">
              <w:rPr>
                <w:rFonts w:eastAsia="Calibri" w:cs="Arial"/>
                <w:i/>
                <w:iCs/>
                <w:sz w:val="22"/>
                <w:szCs w:val="22"/>
                <w:lang w:val="es-CO" w:eastAsia="en-US"/>
              </w:rPr>
              <w:t xml:space="preserve">. </w:t>
            </w:r>
          </w:p>
          <w:p w14:paraId="19D3F7FD" w14:textId="749A7CB9" w:rsidR="00177ED9" w:rsidRDefault="00177ED9" w:rsidP="00177ED9">
            <w:pPr>
              <w:autoSpaceDE w:val="0"/>
              <w:autoSpaceDN w:val="0"/>
              <w:adjustRightInd w:val="0"/>
              <w:jc w:val="both"/>
              <w:rPr>
                <w:rFonts w:eastAsia="Calibri" w:cs="Arial"/>
                <w:i/>
                <w:iCs/>
                <w:sz w:val="22"/>
                <w:szCs w:val="22"/>
                <w:lang w:val="es-CO" w:eastAsia="en-US"/>
              </w:rPr>
            </w:pPr>
          </w:p>
          <w:p w14:paraId="27A8D7AA" w14:textId="2EA95CFF" w:rsidR="00177ED9" w:rsidRPr="00177ED9" w:rsidRDefault="008069F5" w:rsidP="00177ED9">
            <w:pPr>
              <w:autoSpaceDE w:val="0"/>
              <w:autoSpaceDN w:val="0"/>
              <w:adjustRightInd w:val="0"/>
              <w:jc w:val="both"/>
              <w:rPr>
                <w:rFonts w:eastAsia="Calibri" w:cs="Arial"/>
                <w:i/>
                <w:iCs/>
                <w:sz w:val="22"/>
                <w:szCs w:val="22"/>
                <w:lang w:val="es-CO" w:eastAsia="en-US"/>
              </w:rPr>
            </w:pPr>
            <w:r>
              <w:rPr>
                <w:rFonts w:eastAsia="Calibri" w:cs="Arial"/>
                <w:iCs/>
                <w:sz w:val="22"/>
                <w:szCs w:val="22"/>
                <w:lang w:val="es-CO" w:eastAsia="en-US"/>
              </w:rPr>
              <w:t xml:space="preserve">Por su parte, el dirigente Juan Diego Gómez, </w:t>
            </w:r>
            <w:r w:rsidRPr="008069F5">
              <w:rPr>
                <w:rFonts w:eastAsia="Calibri" w:cs="Arial"/>
                <w:iCs/>
                <w:sz w:val="22"/>
                <w:szCs w:val="22"/>
                <w:lang w:val="es-CO" w:eastAsia="en-US"/>
              </w:rPr>
              <w:t>representante de la Confederación Inter</w:t>
            </w:r>
            <w:r>
              <w:rPr>
                <w:rFonts w:eastAsia="Calibri" w:cs="Arial"/>
                <w:iCs/>
                <w:sz w:val="22"/>
                <w:szCs w:val="22"/>
                <w:lang w:val="es-CO" w:eastAsia="en-US"/>
              </w:rPr>
              <w:t>nacional de Servicios Públicos -</w:t>
            </w:r>
            <w:r w:rsidRPr="008069F5">
              <w:rPr>
                <w:rFonts w:eastAsia="Calibri" w:cs="Arial"/>
                <w:iCs/>
                <w:sz w:val="22"/>
                <w:szCs w:val="22"/>
                <w:lang w:val="es-CO" w:eastAsia="en-US"/>
              </w:rPr>
              <w:t>ISP</w:t>
            </w:r>
            <w:r>
              <w:rPr>
                <w:rFonts w:eastAsia="Calibri" w:cs="Arial"/>
                <w:iCs/>
                <w:sz w:val="22"/>
                <w:szCs w:val="22"/>
                <w:lang w:val="es-CO" w:eastAsia="en-US"/>
              </w:rPr>
              <w:t>-</w:t>
            </w:r>
            <w:r w:rsidRPr="008069F5">
              <w:rPr>
                <w:rFonts w:eastAsia="Calibri" w:cs="Arial"/>
                <w:iCs/>
                <w:sz w:val="22"/>
                <w:szCs w:val="22"/>
                <w:lang w:val="es-CO" w:eastAsia="en-US"/>
              </w:rPr>
              <w:t xml:space="preserve"> </w:t>
            </w:r>
            <w:r>
              <w:rPr>
                <w:rFonts w:eastAsia="Calibri" w:cs="Arial"/>
                <w:iCs/>
                <w:sz w:val="22"/>
                <w:szCs w:val="22"/>
                <w:lang w:val="es-CO" w:eastAsia="en-US"/>
              </w:rPr>
              <w:t xml:space="preserve">anotó que </w:t>
            </w:r>
            <w:r>
              <w:rPr>
                <w:rFonts w:eastAsia="Calibri" w:cs="Arial"/>
                <w:i/>
                <w:iCs/>
                <w:sz w:val="22"/>
                <w:szCs w:val="22"/>
                <w:lang w:val="es-CO" w:eastAsia="en-US"/>
              </w:rPr>
              <w:t>“</w:t>
            </w:r>
            <w:r w:rsidRPr="00177ED9">
              <w:rPr>
                <w:rFonts w:eastAsia="Calibri" w:cs="Arial"/>
                <w:i/>
                <w:iCs/>
                <w:sz w:val="22"/>
                <w:szCs w:val="22"/>
                <w:lang w:val="es-CO" w:eastAsia="en-US"/>
              </w:rPr>
              <w:t>el fortalecimiento progresivo del proceso de negociación co</w:t>
            </w:r>
            <w:r>
              <w:rPr>
                <w:rFonts w:eastAsia="Calibri" w:cs="Arial"/>
                <w:i/>
                <w:iCs/>
                <w:sz w:val="22"/>
                <w:szCs w:val="22"/>
                <w:lang w:val="es-CO" w:eastAsia="en-US"/>
              </w:rPr>
              <w:t xml:space="preserve">lectiva en los últimos </w:t>
            </w:r>
            <w:r w:rsidR="00BD256B">
              <w:rPr>
                <w:rFonts w:eastAsia="Calibri" w:cs="Arial"/>
                <w:i/>
                <w:iCs/>
                <w:sz w:val="22"/>
                <w:szCs w:val="22"/>
                <w:lang w:val="es-CO" w:eastAsia="en-US"/>
              </w:rPr>
              <w:t>años</w:t>
            </w:r>
            <w:r>
              <w:rPr>
                <w:rFonts w:eastAsia="Calibri" w:cs="Arial"/>
                <w:i/>
                <w:iCs/>
                <w:sz w:val="22"/>
                <w:szCs w:val="22"/>
                <w:lang w:val="es-CO" w:eastAsia="en-US"/>
              </w:rPr>
              <w:t xml:space="preserve"> </w:t>
            </w:r>
            <w:r w:rsidRPr="00177ED9">
              <w:rPr>
                <w:rFonts w:eastAsia="Calibri" w:cs="Arial"/>
                <w:i/>
                <w:iCs/>
                <w:sz w:val="22"/>
                <w:szCs w:val="22"/>
                <w:lang w:val="es-CO" w:eastAsia="en-US"/>
              </w:rPr>
              <w:t>ha obedecido en buena medida a la unidad de los trabajadores del Estado</w:t>
            </w:r>
            <w:r>
              <w:rPr>
                <w:rFonts w:eastAsia="Calibri" w:cs="Arial"/>
                <w:i/>
                <w:iCs/>
                <w:sz w:val="22"/>
                <w:szCs w:val="22"/>
                <w:lang w:val="es-CO" w:eastAsia="en-US"/>
              </w:rPr>
              <w:t xml:space="preserve">. (…). </w:t>
            </w:r>
            <w:r w:rsidR="00177ED9" w:rsidRPr="00177ED9">
              <w:rPr>
                <w:rFonts w:eastAsia="Calibri" w:cs="Arial"/>
                <w:i/>
                <w:iCs/>
                <w:sz w:val="22"/>
                <w:szCs w:val="22"/>
                <w:lang w:val="es-CO" w:eastAsia="en-US"/>
              </w:rPr>
              <w:t>Se refiere a la mesa de trabajo y unidad que en el año 2010 conformaron las tres centrales sindicales y todas las federaciones de trabajadores al servicio del Estado, como Fecode, Fenaltrase, Fenas</w:t>
            </w:r>
            <w:r w:rsidR="00844ED2">
              <w:rPr>
                <w:rFonts w:eastAsia="Calibri" w:cs="Arial"/>
                <w:i/>
                <w:iCs/>
                <w:sz w:val="22"/>
                <w:szCs w:val="22"/>
                <w:lang w:val="es-CO" w:eastAsia="en-US"/>
              </w:rPr>
              <w:t>er, Unete y Utradec</w:t>
            </w:r>
            <w:r>
              <w:rPr>
                <w:rFonts w:eastAsia="Calibri" w:cs="Arial"/>
                <w:i/>
                <w:iCs/>
                <w:sz w:val="22"/>
                <w:szCs w:val="22"/>
                <w:lang w:val="es-CO" w:eastAsia="en-US"/>
              </w:rPr>
              <w:t>.</w:t>
            </w:r>
            <w:r w:rsidR="00844ED2">
              <w:rPr>
                <w:rFonts w:eastAsia="Calibri" w:cs="Arial"/>
                <w:i/>
                <w:iCs/>
                <w:sz w:val="22"/>
                <w:szCs w:val="22"/>
                <w:lang w:val="es-CO" w:eastAsia="en-US"/>
              </w:rPr>
              <w:t xml:space="preserve"> </w:t>
            </w:r>
            <w:r w:rsidR="00177ED9" w:rsidRPr="00177ED9">
              <w:rPr>
                <w:rFonts w:eastAsia="Calibri" w:cs="Arial"/>
                <w:i/>
                <w:iCs/>
                <w:sz w:val="22"/>
                <w:szCs w:val="22"/>
                <w:lang w:val="es-CO" w:eastAsia="en-US"/>
              </w:rPr>
              <w:t>Es una mesa que a lo largo de estos años ha trabajado en la tarea de mantenerse, fortalecerse y continuar en línea progresiva</w:t>
            </w:r>
            <w:r>
              <w:rPr>
                <w:rFonts w:eastAsia="Calibri" w:cs="Arial"/>
                <w:i/>
                <w:iCs/>
                <w:sz w:val="22"/>
                <w:szCs w:val="22"/>
                <w:lang w:val="es-CO" w:eastAsia="en-US"/>
              </w:rPr>
              <w:t>”</w:t>
            </w:r>
            <w:r w:rsidR="00177ED9" w:rsidRPr="00177ED9">
              <w:rPr>
                <w:rFonts w:eastAsia="Calibri" w:cs="Arial"/>
                <w:i/>
                <w:iCs/>
                <w:sz w:val="22"/>
                <w:szCs w:val="22"/>
                <w:lang w:val="es-CO" w:eastAsia="en-US"/>
              </w:rPr>
              <w:t>.</w:t>
            </w:r>
          </w:p>
          <w:p w14:paraId="13664E9B" w14:textId="77777777" w:rsidR="00177ED9" w:rsidRPr="00177ED9" w:rsidRDefault="00177ED9" w:rsidP="00177ED9">
            <w:pPr>
              <w:autoSpaceDE w:val="0"/>
              <w:autoSpaceDN w:val="0"/>
              <w:adjustRightInd w:val="0"/>
              <w:jc w:val="both"/>
              <w:rPr>
                <w:rFonts w:eastAsia="Calibri" w:cs="Arial"/>
                <w:i/>
                <w:iCs/>
                <w:sz w:val="22"/>
                <w:szCs w:val="22"/>
                <w:lang w:val="es-CO" w:eastAsia="en-US"/>
              </w:rPr>
            </w:pPr>
          </w:p>
          <w:p w14:paraId="7FEF985C" w14:textId="77777777" w:rsidR="005E1BFC" w:rsidRDefault="00177ED9" w:rsidP="00177ED9">
            <w:pPr>
              <w:autoSpaceDE w:val="0"/>
              <w:autoSpaceDN w:val="0"/>
              <w:adjustRightInd w:val="0"/>
              <w:jc w:val="both"/>
              <w:rPr>
                <w:rFonts w:eastAsia="Calibri" w:cs="Arial"/>
                <w:sz w:val="22"/>
                <w:szCs w:val="22"/>
                <w:lang w:val="es-CO" w:eastAsia="en-US"/>
              </w:rPr>
            </w:pPr>
            <w:r w:rsidRPr="00177ED9">
              <w:rPr>
                <w:rFonts w:eastAsia="Calibri" w:cs="Arial"/>
                <w:sz w:val="22"/>
                <w:szCs w:val="22"/>
                <w:lang w:val="es-CO" w:eastAsia="en-US"/>
              </w:rPr>
              <w:t>No obstante</w:t>
            </w:r>
            <w:r>
              <w:rPr>
                <w:rFonts w:eastAsia="Calibri" w:cs="Arial"/>
                <w:sz w:val="22"/>
                <w:szCs w:val="22"/>
                <w:lang w:val="es-CO" w:eastAsia="en-US"/>
              </w:rPr>
              <w:t xml:space="preserve">, a pesar de </w:t>
            </w:r>
            <w:r w:rsidRPr="00177ED9">
              <w:rPr>
                <w:rFonts w:eastAsia="Calibri" w:cs="Arial"/>
                <w:sz w:val="22"/>
                <w:szCs w:val="22"/>
                <w:lang w:val="es-CO" w:eastAsia="en-US"/>
              </w:rPr>
              <w:t>los importantes avances que en materi</w:t>
            </w:r>
            <w:r w:rsidR="00FD730A">
              <w:rPr>
                <w:rFonts w:eastAsia="Calibri" w:cs="Arial"/>
                <w:sz w:val="22"/>
                <w:szCs w:val="22"/>
                <w:lang w:val="es-CO" w:eastAsia="en-US"/>
              </w:rPr>
              <w:t>a de negociación colectiva con</w:t>
            </w:r>
            <w:r w:rsidRPr="00177ED9">
              <w:rPr>
                <w:rFonts w:eastAsia="Calibri" w:cs="Arial"/>
                <w:sz w:val="22"/>
                <w:szCs w:val="22"/>
                <w:lang w:val="es-CO" w:eastAsia="en-US"/>
              </w:rPr>
              <w:t xml:space="preserve"> los servidores públicos el Gobierno nacional ha implementado, también debe reconocerse que </w:t>
            </w:r>
            <w:r w:rsidR="00994D52">
              <w:rPr>
                <w:rFonts w:eastAsia="Calibri" w:cs="Arial"/>
                <w:sz w:val="22"/>
                <w:szCs w:val="22"/>
                <w:lang w:val="es-CO" w:eastAsia="en-US"/>
              </w:rPr>
              <w:t xml:space="preserve">en la aplicación del decreto a </w:t>
            </w:r>
            <w:r w:rsidR="00872C95">
              <w:rPr>
                <w:rFonts w:eastAsia="Calibri" w:cs="Arial"/>
                <w:sz w:val="22"/>
                <w:szCs w:val="22"/>
                <w:lang w:val="es-CO" w:eastAsia="en-US"/>
              </w:rPr>
              <w:t>modificar,</w:t>
            </w:r>
            <w:r w:rsidRPr="00177ED9">
              <w:rPr>
                <w:rFonts w:eastAsia="Calibri" w:cs="Arial"/>
                <w:sz w:val="22"/>
                <w:szCs w:val="22"/>
                <w:lang w:val="es-CO" w:eastAsia="en-US"/>
              </w:rPr>
              <w:t xml:space="preserve"> se h</w:t>
            </w:r>
            <w:r w:rsidR="00872C95">
              <w:rPr>
                <w:rFonts w:eastAsia="Calibri" w:cs="Arial"/>
                <w:sz w:val="22"/>
                <w:szCs w:val="22"/>
                <w:lang w:val="es-CO" w:eastAsia="en-US"/>
              </w:rPr>
              <w:t xml:space="preserve">an encontrado vacíos </w:t>
            </w:r>
            <w:r w:rsidR="00F20FF6">
              <w:rPr>
                <w:rFonts w:eastAsia="Calibri" w:cs="Arial"/>
                <w:sz w:val="22"/>
                <w:szCs w:val="22"/>
                <w:lang w:val="es-CO" w:eastAsia="en-US"/>
              </w:rPr>
              <w:t xml:space="preserve">y falencias procedimentales </w:t>
            </w:r>
            <w:r w:rsidR="00872C95">
              <w:rPr>
                <w:rFonts w:eastAsia="Calibri" w:cs="Arial"/>
                <w:sz w:val="22"/>
                <w:szCs w:val="22"/>
                <w:lang w:val="es-CO" w:eastAsia="en-US"/>
              </w:rPr>
              <w:t>que impiden</w:t>
            </w:r>
            <w:r w:rsidR="00FD730A">
              <w:rPr>
                <w:rFonts w:eastAsia="Calibri" w:cs="Arial"/>
                <w:sz w:val="22"/>
                <w:szCs w:val="22"/>
                <w:lang w:val="es-CO" w:eastAsia="en-US"/>
              </w:rPr>
              <w:t xml:space="preserve"> traz</w:t>
            </w:r>
            <w:r w:rsidR="00F20FF6">
              <w:rPr>
                <w:rFonts w:eastAsia="Calibri" w:cs="Arial"/>
                <w:sz w:val="22"/>
                <w:szCs w:val="22"/>
                <w:lang w:val="es-CO" w:eastAsia="en-US"/>
              </w:rPr>
              <w:t>ar</w:t>
            </w:r>
            <w:r w:rsidR="00FD730A">
              <w:rPr>
                <w:rFonts w:eastAsia="Calibri" w:cs="Arial"/>
                <w:sz w:val="22"/>
                <w:szCs w:val="22"/>
                <w:lang w:val="es-CO" w:eastAsia="en-US"/>
              </w:rPr>
              <w:t xml:space="preserve"> líneas </w:t>
            </w:r>
            <w:r w:rsidR="00F20FF6">
              <w:rPr>
                <w:rFonts w:eastAsia="Calibri" w:cs="Arial"/>
                <w:sz w:val="22"/>
                <w:szCs w:val="22"/>
                <w:lang w:val="es-CO" w:eastAsia="en-US"/>
              </w:rPr>
              <w:t xml:space="preserve">claras </w:t>
            </w:r>
            <w:r w:rsidR="00FD730A">
              <w:rPr>
                <w:rFonts w:eastAsia="Calibri" w:cs="Arial"/>
                <w:sz w:val="22"/>
                <w:szCs w:val="22"/>
                <w:lang w:val="es-CO" w:eastAsia="en-US"/>
              </w:rPr>
              <w:t>de negociación</w:t>
            </w:r>
            <w:r w:rsidR="00994D52">
              <w:rPr>
                <w:rFonts w:eastAsia="Calibri" w:cs="Arial"/>
                <w:sz w:val="22"/>
                <w:szCs w:val="22"/>
                <w:lang w:val="es-CO" w:eastAsia="en-US"/>
              </w:rPr>
              <w:t xml:space="preserve"> y entendimiento</w:t>
            </w:r>
            <w:r w:rsidR="00FD730A">
              <w:rPr>
                <w:rFonts w:eastAsia="Calibri" w:cs="Arial"/>
                <w:sz w:val="22"/>
                <w:szCs w:val="22"/>
                <w:lang w:val="es-CO" w:eastAsia="en-US"/>
              </w:rPr>
              <w:t xml:space="preserve">, </w:t>
            </w:r>
            <w:r w:rsidR="005066E1">
              <w:rPr>
                <w:rFonts w:eastAsia="Calibri" w:cs="Arial"/>
                <w:sz w:val="22"/>
                <w:szCs w:val="22"/>
                <w:lang w:val="es-CO" w:eastAsia="en-US"/>
              </w:rPr>
              <w:t>principalmente</w:t>
            </w:r>
            <w:r w:rsidRPr="00177ED9">
              <w:rPr>
                <w:rFonts w:eastAsia="Calibri" w:cs="Arial"/>
                <w:sz w:val="22"/>
                <w:szCs w:val="22"/>
                <w:lang w:val="es-CO" w:eastAsia="en-US"/>
              </w:rPr>
              <w:t xml:space="preserve"> en lo que tiene que ver </w:t>
            </w:r>
            <w:r w:rsidR="00994D52">
              <w:rPr>
                <w:rFonts w:eastAsia="Calibri" w:cs="Arial"/>
                <w:sz w:val="22"/>
                <w:szCs w:val="22"/>
                <w:lang w:val="es-CO" w:eastAsia="en-US"/>
              </w:rPr>
              <w:t xml:space="preserve">con la unificación del pliego y las comisiones negociadoras, dado el número indefinido y voluminoso de </w:t>
            </w:r>
            <w:r w:rsidRPr="00177ED9">
              <w:rPr>
                <w:rFonts w:eastAsia="Calibri" w:cs="Arial"/>
                <w:sz w:val="22"/>
                <w:szCs w:val="22"/>
                <w:lang w:val="es-CO" w:eastAsia="en-US"/>
              </w:rPr>
              <w:t>negociadores</w:t>
            </w:r>
            <w:r w:rsidR="005E1BFC">
              <w:rPr>
                <w:rFonts w:eastAsia="Calibri" w:cs="Arial"/>
                <w:sz w:val="22"/>
                <w:szCs w:val="22"/>
                <w:lang w:val="es-CO" w:eastAsia="en-US"/>
              </w:rPr>
              <w:t xml:space="preserve">, principales y suplentes, </w:t>
            </w:r>
            <w:r w:rsidR="00994D52">
              <w:rPr>
                <w:rFonts w:eastAsia="Calibri" w:cs="Arial"/>
                <w:sz w:val="22"/>
                <w:szCs w:val="22"/>
                <w:lang w:val="es-CO" w:eastAsia="en-US"/>
              </w:rPr>
              <w:t>que participan</w:t>
            </w:r>
            <w:r w:rsidR="00F20FF6">
              <w:rPr>
                <w:rFonts w:eastAsia="Calibri" w:cs="Arial"/>
                <w:sz w:val="22"/>
                <w:szCs w:val="22"/>
                <w:lang w:val="es-CO" w:eastAsia="en-US"/>
              </w:rPr>
              <w:t xml:space="preserve"> en los diferentes ámbitos</w:t>
            </w:r>
            <w:r w:rsidR="005E1BFC">
              <w:rPr>
                <w:rFonts w:eastAsia="Calibri" w:cs="Arial"/>
                <w:sz w:val="22"/>
                <w:szCs w:val="22"/>
                <w:lang w:val="es-CO" w:eastAsia="en-US"/>
              </w:rPr>
              <w:t xml:space="preserve">, acompañados también de asesores lo cual resulta inmanejable en los procesos de concertación. </w:t>
            </w:r>
          </w:p>
          <w:p w14:paraId="3D106C4E" w14:textId="77777777" w:rsidR="005E1BFC" w:rsidRDefault="005E1BFC" w:rsidP="00177ED9">
            <w:pPr>
              <w:autoSpaceDE w:val="0"/>
              <w:autoSpaceDN w:val="0"/>
              <w:adjustRightInd w:val="0"/>
              <w:jc w:val="both"/>
              <w:rPr>
                <w:rFonts w:eastAsia="Calibri" w:cs="Arial"/>
                <w:sz w:val="22"/>
                <w:szCs w:val="22"/>
                <w:lang w:val="es-CO" w:eastAsia="en-US"/>
              </w:rPr>
            </w:pPr>
          </w:p>
          <w:p w14:paraId="45BA0B7E" w14:textId="15704FBF" w:rsidR="008D028E" w:rsidRDefault="005E1BFC" w:rsidP="00177ED9">
            <w:pPr>
              <w:autoSpaceDE w:val="0"/>
              <w:autoSpaceDN w:val="0"/>
              <w:adjustRightInd w:val="0"/>
              <w:jc w:val="both"/>
              <w:rPr>
                <w:rFonts w:eastAsia="Calibri" w:cs="Arial"/>
                <w:sz w:val="22"/>
                <w:szCs w:val="22"/>
                <w:lang w:val="es-CO" w:eastAsia="en-US"/>
              </w:rPr>
            </w:pPr>
            <w:r>
              <w:rPr>
                <w:rFonts w:eastAsia="Calibri" w:cs="Arial"/>
                <w:sz w:val="22"/>
                <w:szCs w:val="22"/>
                <w:lang w:val="es-CO" w:eastAsia="en-US"/>
              </w:rPr>
              <w:t xml:space="preserve">Así mismo, </w:t>
            </w:r>
            <w:r w:rsidR="00177ED9" w:rsidRPr="00177ED9">
              <w:rPr>
                <w:rFonts w:eastAsia="Calibri" w:cs="Arial"/>
                <w:sz w:val="22"/>
                <w:szCs w:val="22"/>
                <w:lang w:val="es-CO" w:eastAsia="en-US"/>
              </w:rPr>
              <w:t xml:space="preserve">la dispersión y falta de representatividad </w:t>
            </w:r>
            <w:r w:rsidR="00994D52">
              <w:rPr>
                <w:rFonts w:eastAsia="Calibri" w:cs="Arial"/>
                <w:sz w:val="22"/>
                <w:szCs w:val="22"/>
                <w:lang w:val="es-CO" w:eastAsia="en-US"/>
              </w:rPr>
              <w:t xml:space="preserve">de empleados públicos </w:t>
            </w:r>
            <w:r w:rsidR="00177ED9" w:rsidRPr="00177ED9">
              <w:rPr>
                <w:rFonts w:eastAsia="Calibri" w:cs="Arial"/>
                <w:sz w:val="22"/>
                <w:szCs w:val="22"/>
                <w:lang w:val="es-CO" w:eastAsia="en-US"/>
              </w:rPr>
              <w:t xml:space="preserve">de algunas organizaciones sindicales </w:t>
            </w:r>
            <w:r w:rsidR="00994D52">
              <w:rPr>
                <w:rFonts w:eastAsia="Calibri" w:cs="Arial"/>
                <w:sz w:val="22"/>
                <w:szCs w:val="22"/>
                <w:lang w:val="es-CO" w:eastAsia="en-US"/>
              </w:rPr>
              <w:t xml:space="preserve">en las que sus </w:t>
            </w:r>
            <w:r>
              <w:rPr>
                <w:rFonts w:eastAsia="Calibri" w:cs="Arial"/>
                <w:sz w:val="22"/>
                <w:szCs w:val="22"/>
                <w:lang w:val="es-CO" w:eastAsia="en-US"/>
              </w:rPr>
              <w:t xml:space="preserve">afiliados </w:t>
            </w:r>
            <w:r w:rsidR="00994D52">
              <w:rPr>
                <w:rFonts w:eastAsia="Calibri" w:cs="Arial"/>
                <w:sz w:val="22"/>
                <w:szCs w:val="22"/>
                <w:lang w:val="es-CO" w:eastAsia="en-US"/>
              </w:rPr>
              <w:t xml:space="preserve">carecen de esta condición, </w:t>
            </w:r>
            <w:r w:rsidR="00F20FF6">
              <w:rPr>
                <w:rFonts w:eastAsia="Calibri" w:cs="Arial"/>
                <w:sz w:val="22"/>
                <w:szCs w:val="22"/>
                <w:lang w:val="es-CO" w:eastAsia="en-US"/>
              </w:rPr>
              <w:t xml:space="preserve">la </w:t>
            </w:r>
            <w:r>
              <w:rPr>
                <w:rFonts w:eastAsia="Calibri" w:cs="Arial"/>
                <w:sz w:val="22"/>
                <w:szCs w:val="22"/>
                <w:lang w:val="es-CO" w:eastAsia="en-US"/>
              </w:rPr>
              <w:t xml:space="preserve"> inclusión</w:t>
            </w:r>
            <w:r w:rsidR="008D028E">
              <w:rPr>
                <w:rFonts w:eastAsia="Calibri" w:cs="Arial"/>
                <w:sz w:val="22"/>
                <w:szCs w:val="22"/>
                <w:lang w:val="es-CO" w:eastAsia="en-US"/>
              </w:rPr>
              <w:t xml:space="preserve"> de</w:t>
            </w:r>
            <w:r>
              <w:rPr>
                <w:rFonts w:eastAsia="Calibri" w:cs="Arial"/>
                <w:sz w:val="22"/>
                <w:szCs w:val="22"/>
                <w:lang w:val="es-CO" w:eastAsia="en-US"/>
              </w:rPr>
              <w:t xml:space="preserve"> </w:t>
            </w:r>
            <w:r w:rsidR="00177ED9" w:rsidRPr="00177ED9">
              <w:rPr>
                <w:rFonts w:eastAsia="Calibri" w:cs="Arial"/>
                <w:sz w:val="22"/>
                <w:szCs w:val="22"/>
                <w:lang w:val="es-CO" w:eastAsia="en-US"/>
              </w:rPr>
              <w:t>materias que no son objeto de negociación por parte de algunas entidades territoriales, la falta de</w:t>
            </w:r>
            <w:r w:rsidR="005066E1">
              <w:rPr>
                <w:rFonts w:eastAsia="Calibri" w:cs="Arial"/>
                <w:sz w:val="22"/>
                <w:szCs w:val="22"/>
                <w:lang w:val="es-CO" w:eastAsia="en-US"/>
              </w:rPr>
              <w:t xml:space="preserve"> articulaci</w:t>
            </w:r>
            <w:r w:rsidR="008D028E">
              <w:rPr>
                <w:rFonts w:eastAsia="Calibri" w:cs="Arial"/>
                <w:sz w:val="22"/>
                <w:szCs w:val="22"/>
                <w:lang w:val="es-CO" w:eastAsia="en-US"/>
              </w:rPr>
              <w:t>ón</w:t>
            </w:r>
            <w:r w:rsidR="005066E1">
              <w:rPr>
                <w:rFonts w:eastAsia="Calibri" w:cs="Arial"/>
                <w:sz w:val="22"/>
                <w:szCs w:val="22"/>
                <w:lang w:val="es-CO" w:eastAsia="en-US"/>
              </w:rPr>
              <w:t xml:space="preserve"> </w:t>
            </w:r>
            <w:r w:rsidR="00177ED9" w:rsidRPr="00177ED9">
              <w:rPr>
                <w:rFonts w:eastAsia="Calibri" w:cs="Arial"/>
                <w:sz w:val="22"/>
                <w:szCs w:val="22"/>
                <w:lang w:val="es-CO" w:eastAsia="en-US"/>
              </w:rPr>
              <w:t>del movimiento sindical y</w:t>
            </w:r>
            <w:r w:rsidR="008D028E">
              <w:rPr>
                <w:rFonts w:eastAsia="Calibri" w:cs="Arial"/>
                <w:sz w:val="22"/>
                <w:szCs w:val="22"/>
                <w:lang w:val="es-CO" w:eastAsia="en-US"/>
              </w:rPr>
              <w:t xml:space="preserve"> las</w:t>
            </w:r>
            <w:r w:rsidR="00177ED9" w:rsidRPr="00177ED9">
              <w:rPr>
                <w:rFonts w:eastAsia="Calibri" w:cs="Arial"/>
                <w:sz w:val="22"/>
                <w:szCs w:val="22"/>
                <w:lang w:val="es-CO" w:eastAsia="en-US"/>
              </w:rPr>
              <w:t xml:space="preserve"> fallas en la eficacia y agilidad del proceso de negociación colectiva</w:t>
            </w:r>
            <w:r w:rsidR="005066E1">
              <w:rPr>
                <w:rFonts w:eastAsia="Calibri" w:cs="Arial"/>
                <w:sz w:val="22"/>
                <w:szCs w:val="22"/>
                <w:lang w:val="es-CO" w:eastAsia="en-US"/>
              </w:rPr>
              <w:t xml:space="preserve">, </w:t>
            </w:r>
            <w:r w:rsidR="008D028E">
              <w:rPr>
                <w:rFonts w:eastAsia="Calibri" w:cs="Arial"/>
                <w:sz w:val="22"/>
                <w:szCs w:val="22"/>
                <w:lang w:val="es-CO" w:eastAsia="en-US"/>
              </w:rPr>
              <w:t xml:space="preserve">han generado grandes dificultades en la organización funcional de las mesas en los diferentes ámbitos, así como retrasos e injustificadas </w:t>
            </w:r>
            <w:r w:rsidR="005066E1">
              <w:rPr>
                <w:rFonts w:eastAsia="Calibri" w:cs="Arial"/>
                <w:sz w:val="22"/>
                <w:szCs w:val="22"/>
                <w:lang w:val="es-CO" w:eastAsia="en-US"/>
              </w:rPr>
              <w:t xml:space="preserve"> prolongaciones de</w:t>
            </w:r>
            <w:r w:rsidR="00177ED9" w:rsidRPr="00177ED9">
              <w:rPr>
                <w:rFonts w:eastAsia="Calibri" w:cs="Arial"/>
                <w:sz w:val="22"/>
                <w:szCs w:val="22"/>
                <w:lang w:val="es-CO" w:eastAsia="en-US"/>
              </w:rPr>
              <w:t xml:space="preserve"> tiempo en </w:t>
            </w:r>
            <w:r w:rsidR="005066E1">
              <w:rPr>
                <w:rFonts w:eastAsia="Calibri" w:cs="Arial"/>
                <w:sz w:val="22"/>
                <w:szCs w:val="22"/>
                <w:lang w:val="es-CO" w:eastAsia="en-US"/>
              </w:rPr>
              <w:t xml:space="preserve">el </w:t>
            </w:r>
            <w:r w:rsidR="00177ED9" w:rsidRPr="00177ED9">
              <w:rPr>
                <w:rFonts w:eastAsia="Calibri" w:cs="Arial"/>
                <w:sz w:val="22"/>
                <w:szCs w:val="22"/>
                <w:lang w:val="es-CO" w:eastAsia="en-US"/>
              </w:rPr>
              <w:t>desarroll</w:t>
            </w:r>
            <w:r w:rsidR="005066E1">
              <w:rPr>
                <w:rFonts w:eastAsia="Calibri" w:cs="Arial"/>
                <w:sz w:val="22"/>
                <w:szCs w:val="22"/>
                <w:lang w:val="es-CO" w:eastAsia="en-US"/>
              </w:rPr>
              <w:t>o</w:t>
            </w:r>
            <w:r w:rsidR="008D028E">
              <w:rPr>
                <w:rFonts w:eastAsia="Calibri" w:cs="Arial"/>
                <w:sz w:val="22"/>
                <w:szCs w:val="22"/>
                <w:lang w:val="es-CO" w:eastAsia="en-US"/>
              </w:rPr>
              <w:t xml:space="preserve"> y formalización</w:t>
            </w:r>
            <w:r w:rsidR="005066E1">
              <w:rPr>
                <w:rFonts w:eastAsia="Calibri" w:cs="Arial"/>
                <w:sz w:val="22"/>
                <w:szCs w:val="22"/>
                <w:lang w:val="es-CO" w:eastAsia="en-US"/>
              </w:rPr>
              <w:t xml:space="preserve"> de</w:t>
            </w:r>
            <w:r w:rsidR="008D028E">
              <w:rPr>
                <w:rFonts w:eastAsia="Calibri" w:cs="Arial"/>
                <w:sz w:val="22"/>
                <w:szCs w:val="22"/>
                <w:lang w:val="es-CO" w:eastAsia="en-US"/>
              </w:rPr>
              <w:t xml:space="preserve">l acuerdo, todo lo cual se traduce en gastos </w:t>
            </w:r>
            <w:r w:rsidR="00177ED9" w:rsidRPr="00177ED9">
              <w:rPr>
                <w:rFonts w:eastAsia="Calibri" w:cs="Arial"/>
                <w:sz w:val="22"/>
                <w:szCs w:val="22"/>
                <w:lang w:val="es-CO" w:eastAsia="en-US"/>
              </w:rPr>
              <w:t>presupuestales</w:t>
            </w:r>
            <w:r w:rsidR="005066E1">
              <w:rPr>
                <w:rFonts w:eastAsia="Calibri" w:cs="Arial"/>
                <w:sz w:val="22"/>
                <w:szCs w:val="22"/>
                <w:lang w:val="es-CO" w:eastAsia="en-US"/>
              </w:rPr>
              <w:t xml:space="preserve"> y</w:t>
            </w:r>
            <w:r w:rsidR="008D028E">
              <w:rPr>
                <w:rFonts w:eastAsia="Calibri" w:cs="Arial"/>
                <w:sz w:val="22"/>
                <w:szCs w:val="22"/>
                <w:lang w:val="es-CO" w:eastAsia="en-US"/>
              </w:rPr>
              <w:t xml:space="preserve"> apoyos</w:t>
            </w:r>
            <w:r w:rsidR="005066E1">
              <w:rPr>
                <w:rFonts w:eastAsia="Calibri" w:cs="Arial"/>
                <w:sz w:val="22"/>
                <w:szCs w:val="22"/>
                <w:lang w:val="es-CO" w:eastAsia="en-US"/>
              </w:rPr>
              <w:t xml:space="preserve"> log</w:t>
            </w:r>
            <w:r w:rsidR="008D028E">
              <w:rPr>
                <w:rFonts w:eastAsia="Calibri" w:cs="Arial"/>
                <w:sz w:val="22"/>
                <w:szCs w:val="22"/>
                <w:lang w:val="es-CO" w:eastAsia="en-US"/>
              </w:rPr>
              <w:t>ístico</w:t>
            </w:r>
            <w:r w:rsidR="005066E1">
              <w:rPr>
                <w:rFonts w:eastAsia="Calibri" w:cs="Arial"/>
                <w:sz w:val="22"/>
                <w:szCs w:val="22"/>
                <w:lang w:val="es-CO" w:eastAsia="en-US"/>
              </w:rPr>
              <w:t>s</w:t>
            </w:r>
            <w:r w:rsidR="008D028E">
              <w:rPr>
                <w:rFonts w:eastAsia="Calibri" w:cs="Arial"/>
                <w:sz w:val="22"/>
                <w:szCs w:val="22"/>
                <w:lang w:val="es-CO" w:eastAsia="en-US"/>
              </w:rPr>
              <w:t xml:space="preserve"> </w:t>
            </w:r>
            <w:r w:rsidR="00B641B3">
              <w:rPr>
                <w:rFonts w:eastAsia="Calibri" w:cs="Arial"/>
                <w:sz w:val="22"/>
                <w:szCs w:val="22"/>
                <w:lang w:val="es-CO" w:eastAsia="en-US"/>
              </w:rPr>
              <w:t xml:space="preserve">innecesarios y </w:t>
            </w:r>
            <w:r w:rsidR="008D028E">
              <w:rPr>
                <w:rFonts w:eastAsia="Calibri" w:cs="Arial"/>
                <w:sz w:val="22"/>
                <w:szCs w:val="22"/>
                <w:lang w:val="es-CO" w:eastAsia="en-US"/>
              </w:rPr>
              <w:t>excesivos para el Estado y sus entidades territoriales lo que</w:t>
            </w:r>
            <w:r w:rsidR="005066E1">
              <w:rPr>
                <w:rFonts w:eastAsia="Calibri" w:cs="Arial"/>
                <w:sz w:val="22"/>
                <w:szCs w:val="22"/>
                <w:lang w:val="es-CO" w:eastAsia="en-US"/>
              </w:rPr>
              <w:t>,</w:t>
            </w:r>
            <w:r w:rsidR="00746B1C">
              <w:rPr>
                <w:rFonts w:eastAsia="Calibri" w:cs="Arial"/>
                <w:sz w:val="22"/>
                <w:szCs w:val="22"/>
                <w:lang w:val="es-CO" w:eastAsia="en-US"/>
              </w:rPr>
              <w:t xml:space="preserve"> en el</w:t>
            </w:r>
            <w:r w:rsidR="00B641B3">
              <w:rPr>
                <w:rFonts w:eastAsia="Calibri" w:cs="Arial"/>
                <w:sz w:val="22"/>
                <w:szCs w:val="22"/>
                <w:lang w:val="es-CO" w:eastAsia="en-US"/>
              </w:rPr>
              <w:t xml:space="preserve"> peor</w:t>
            </w:r>
            <w:r w:rsidR="00177ED9" w:rsidRPr="00177ED9">
              <w:rPr>
                <w:rFonts w:eastAsia="Calibri" w:cs="Arial"/>
                <w:sz w:val="22"/>
                <w:szCs w:val="22"/>
                <w:lang w:val="es-CO" w:eastAsia="en-US"/>
              </w:rPr>
              <w:t xml:space="preserve"> casos, ha conllevado a que varios confl</w:t>
            </w:r>
            <w:r w:rsidR="00746B1C">
              <w:rPr>
                <w:rFonts w:eastAsia="Calibri" w:cs="Arial"/>
                <w:sz w:val="22"/>
                <w:szCs w:val="22"/>
                <w:lang w:val="es-CO" w:eastAsia="en-US"/>
              </w:rPr>
              <w:t>ictos queden sin resolver</w:t>
            </w:r>
            <w:r w:rsidR="008D028E">
              <w:rPr>
                <w:rFonts w:eastAsia="Calibri" w:cs="Arial"/>
                <w:sz w:val="22"/>
                <w:szCs w:val="22"/>
                <w:lang w:val="es-CO" w:eastAsia="en-US"/>
              </w:rPr>
              <w:t>.</w:t>
            </w:r>
          </w:p>
          <w:p w14:paraId="3A9468DD" w14:textId="77777777" w:rsidR="008D028E" w:rsidRDefault="008D028E" w:rsidP="00177ED9">
            <w:pPr>
              <w:autoSpaceDE w:val="0"/>
              <w:autoSpaceDN w:val="0"/>
              <w:adjustRightInd w:val="0"/>
              <w:jc w:val="both"/>
              <w:rPr>
                <w:rFonts w:eastAsia="Calibri" w:cs="Arial"/>
                <w:sz w:val="22"/>
                <w:szCs w:val="22"/>
                <w:lang w:val="es-CO" w:eastAsia="en-US"/>
              </w:rPr>
            </w:pPr>
          </w:p>
          <w:p w14:paraId="6D821E61" w14:textId="3F8774AB" w:rsidR="00177ED9" w:rsidRPr="00177ED9" w:rsidRDefault="000C3FE3" w:rsidP="00177ED9">
            <w:pPr>
              <w:autoSpaceDE w:val="0"/>
              <w:autoSpaceDN w:val="0"/>
              <w:adjustRightInd w:val="0"/>
              <w:jc w:val="both"/>
              <w:rPr>
                <w:rFonts w:eastAsia="Calibri" w:cs="Arial"/>
                <w:sz w:val="22"/>
                <w:szCs w:val="22"/>
                <w:lang w:val="es-CO" w:eastAsia="en-US"/>
              </w:rPr>
            </w:pPr>
            <w:r>
              <w:rPr>
                <w:rFonts w:eastAsia="Calibri" w:cs="Arial"/>
                <w:sz w:val="22"/>
                <w:szCs w:val="22"/>
                <w:lang w:val="es-CO" w:eastAsia="en-US"/>
              </w:rPr>
              <w:t xml:space="preserve">Frente a lo antes expuesto, resulta conveniente citar algunos apartes contenidos en </w:t>
            </w:r>
            <w:r w:rsidR="00177ED9" w:rsidRPr="00177ED9">
              <w:rPr>
                <w:rFonts w:eastAsia="Calibri" w:cs="Arial"/>
                <w:sz w:val="22"/>
                <w:szCs w:val="22"/>
                <w:lang w:val="es-CO" w:eastAsia="en-US"/>
              </w:rPr>
              <w:t>el estudio efectuado por la Organización Internacional del Trabajo denominado “SINCRONIZACIÓN DEL PROCESO DE NEGOCIACIÓN COLECTIVA EN EL</w:t>
            </w:r>
            <w:r>
              <w:rPr>
                <w:rFonts w:eastAsia="Calibri" w:cs="Arial"/>
                <w:sz w:val="22"/>
                <w:szCs w:val="22"/>
                <w:lang w:val="es-CO" w:eastAsia="en-US"/>
              </w:rPr>
              <w:t xml:space="preserve"> </w:t>
            </w:r>
            <w:r w:rsidR="00177ED9" w:rsidRPr="00177ED9">
              <w:rPr>
                <w:rFonts w:eastAsia="Calibri" w:cs="Arial"/>
                <w:sz w:val="22"/>
                <w:szCs w:val="22"/>
                <w:lang w:val="es-CO" w:eastAsia="en-US"/>
              </w:rPr>
              <w:t>SECTOR PÚBLICO Y LOS TIEMPOS PRESUPUESTALES EN COLOMBIA</w:t>
            </w:r>
            <w:r>
              <w:rPr>
                <w:rFonts w:eastAsia="Calibri" w:cs="Arial"/>
                <w:sz w:val="22"/>
                <w:szCs w:val="22"/>
                <w:lang w:val="es-CO" w:eastAsia="en-US"/>
              </w:rPr>
              <w:t xml:space="preserve"> -2016-</w:t>
            </w:r>
            <w:r w:rsidR="00177ED9" w:rsidRPr="00177ED9">
              <w:rPr>
                <w:rFonts w:eastAsia="Calibri" w:cs="Arial"/>
                <w:sz w:val="22"/>
                <w:szCs w:val="22"/>
                <w:lang w:val="es-CO" w:eastAsia="en-US"/>
              </w:rPr>
              <w:t>”</w:t>
            </w:r>
            <w:r>
              <w:rPr>
                <w:rStyle w:val="Refdenotaalpie"/>
                <w:rFonts w:eastAsia="Calibri" w:cs="Arial"/>
                <w:sz w:val="22"/>
                <w:szCs w:val="22"/>
                <w:lang w:val="es-CO" w:eastAsia="en-US"/>
              </w:rPr>
              <w:footnoteReference w:id="1"/>
            </w:r>
            <w:r w:rsidR="00177ED9" w:rsidRPr="00177ED9">
              <w:rPr>
                <w:rFonts w:eastAsia="Calibri" w:cs="Arial"/>
                <w:sz w:val="22"/>
                <w:szCs w:val="22"/>
                <w:lang w:val="es-CO" w:eastAsia="en-US"/>
              </w:rPr>
              <w:t>, el cual arrojó las siguientes conclusiones:</w:t>
            </w:r>
          </w:p>
          <w:p w14:paraId="33D46CF8" w14:textId="77777777" w:rsidR="00177ED9" w:rsidRPr="00D44D9B" w:rsidRDefault="00177ED9" w:rsidP="00177ED9">
            <w:pPr>
              <w:autoSpaceDE w:val="0"/>
              <w:autoSpaceDN w:val="0"/>
              <w:adjustRightInd w:val="0"/>
              <w:jc w:val="both"/>
              <w:rPr>
                <w:rFonts w:eastAsia="Calibri" w:cs="Arial"/>
                <w:i/>
                <w:iCs/>
                <w:sz w:val="22"/>
                <w:szCs w:val="22"/>
                <w:lang w:val="es-CO" w:eastAsia="en-US"/>
              </w:rPr>
            </w:pPr>
          </w:p>
          <w:p w14:paraId="77653823" w14:textId="77777777" w:rsidR="00177ED9" w:rsidRPr="00D44D9B" w:rsidRDefault="00177ED9" w:rsidP="00177ED9">
            <w:pPr>
              <w:autoSpaceDE w:val="0"/>
              <w:autoSpaceDN w:val="0"/>
              <w:adjustRightInd w:val="0"/>
              <w:jc w:val="both"/>
              <w:rPr>
                <w:rFonts w:eastAsia="Calibri" w:cs="Arial"/>
                <w:i/>
                <w:iCs/>
                <w:sz w:val="22"/>
                <w:szCs w:val="22"/>
                <w:lang w:val="es-CO" w:eastAsia="en-US"/>
              </w:rPr>
            </w:pPr>
            <w:r w:rsidRPr="00D44D9B">
              <w:rPr>
                <w:rFonts w:eastAsia="Calibri" w:cs="Arial"/>
                <w:i/>
                <w:iCs/>
                <w:sz w:val="22"/>
                <w:szCs w:val="22"/>
                <w:lang w:val="es-CO" w:eastAsia="en-US"/>
              </w:rPr>
              <w:t>“(…) B.- Para que esa negociación sea fructífera se requiere que la dirigencia sindical se familiarice muy de cerca con lo que se llama el “sistema presupuestal”. Es decir, no solo el presupuesto de cada año a nivel nacional, departamental y municipal, sino con algunos otros documentos de señalada importancia que preceden la elaboración de estos presupuestos, como son muy especialmente el “marco fiscal de mediano plazo” y el “marco de mediano plazo del gasto público”.</w:t>
            </w:r>
          </w:p>
          <w:p w14:paraId="012792F3" w14:textId="77777777" w:rsidR="00177ED9" w:rsidRPr="00D44D9B" w:rsidRDefault="00177ED9" w:rsidP="00177ED9">
            <w:pPr>
              <w:autoSpaceDE w:val="0"/>
              <w:autoSpaceDN w:val="0"/>
              <w:adjustRightInd w:val="0"/>
              <w:jc w:val="both"/>
              <w:rPr>
                <w:rFonts w:eastAsia="Calibri" w:cs="Arial"/>
                <w:i/>
                <w:iCs/>
                <w:sz w:val="22"/>
                <w:szCs w:val="22"/>
                <w:lang w:val="es-CO" w:eastAsia="en-US"/>
              </w:rPr>
            </w:pPr>
          </w:p>
          <w:p w14:paraId="663D2E0C" w14:textId="77777777" w:rsidR="00177ED9" w:rsidRPr="00D44D9B" w:rsidRDefault="00177ED9" w:rsidP="00177ED9">
            <w:pPr>
              <w:autoSpaceDE w:val="0"/>
              <w:autoSpaceDN w:val="0"/>
              <w:adjustRightInd w:val="0"/>
              <w:jc w:val="both"/>
              <w:rPr>
                <w:rFonts w:eastAsia="Calibri" w:cs="Arial"/>
                <w:i/>
                <w:iCs/>
                <w:sz w:val="22"/>
                <w:szCs w:val="22"/>
                <w:lang w:val="es-CO" w:eastAsia="en-US"/>
              </w:rPr>
            </w:pPr>
            <w:r w:rsidRPr="00D44D9B">
              <w:rPr>
                <w:rFonts w:eastAsia="Calibri" w:cs="Arial"/>
                <w:i/>
                <w:iCs/>
                <w:sz w:val="22"/>
                <w:szCs w:val="22"/>
                <w:lang w:val="es-CO" w:eastAsia="en-US"/>
              </w:rPr>
              <w:lastRenderedPageBreak/>
              <w:t>De igual manera es muy importante que los funcionarios de las entidades o autoridades públicas se informen claramente sobre el derecho a la negociación colectiva en el sector público, por parte de las organizaciones sindicales, para negociar las condiciones de empleo de sus empleados públicos.”</w:t>
            </w:r>
          </w:p>
          <w:p w14:paraId="541C5DEC" w14:textId="77777777" w:rsidR="00177ED9" w:rsidRPr="00D44D9B" w:rsidRDefault="00177ED9" w:rsidP="00177ED9">
            <w:pPr>
              <w:autoSpaceDE w:val="0"/>
              <w:autoSpaceDN w:val="0"/>
              <w:adjustRightInd w:val="0"/>
              <w:jc w:val="both"/>
              <w:rPr>
                <w:rFonts w:eastAsia="Calibri" w:cs="Arial"/>
                <w:i/>
                <w:iCs/>
                <w:sz w:val="22"/>
                <w:szCs w:val="22"/>
                <w:lang w:val="es-CO" w:eastAsia="en-US"/>
              </w:rPr>
            </w:pPr>
          </w:p>
          <w:p w14:paraId="5F4C0AB0" w14:textId="77777777" w:rsidR="00177ED9" w:rsidRPr="00D44D9B" w:rsidRDefault="00177ED9" w:rsidP="00177ED9">
            <w:pPr>
              <w:autoSpaceDE w:val="0"/>
              <w:autoSpaceDN w:val="0"/>
              <w:adjustRightInd w:val="0"/>
              <w:jc w:val="both"/>
              <w:rPr>
                <w:rFonts w:eastAsia="Calibri" w:cs="Arial"/>
                <w:i/>
                <w:iCs/>
                <w:sz w:val="22"/>
                <w:szCs w:val="22"/>
                <w:lang w:val="es-CO" w:eastAsia="en-US"/>
              </w:rPr>
            </w:pPr>
            <w:r w:rsidRPr="00D44D9B">
              <w:rPr>
                <w:rFonts w:eastAsia="Calibri" w:cs="Arial"/>
                <w:i/>
                <w:iCs/>
                <w:sz w:val="22"/>
                <w:szCs w:val="22"/>
                <w:lang w:val="es-CO" w:eastAsia="en-US"/>
              </w:rPr>
              <w:t xml:space="preserve">C.- Desde el punto de vista de la cronología es fundamental que no solamente los pliegos de la negociación colectiva se presenten ante las diversas autoridades, ya sean nacionales, departamentales o municipales, en los primeros dos meses, sino que se procure que dichas negociaciones estén debidamente concluidas antes de finalizar el mes de mayo de cada año. De tal manera que los acuerdos a que se lleguen alcancen a ser incorporados oportunamente en los correspondientes proyectos del presupuesto que se presentan ante el Congreso Nacional, las asambleas departamentales y los concejos municipales. </w:t>
            </w:r>
          </w:p>
          <w:p w14:paraId="0342E79F" w14:textId="77777777" w:rsidR="00177ED9" w:rsidRPr="00D44D9B" w:rsidRDefault="00177ED9" w:rsidP="00177ED9">
            <w:pPr>
              <w:autoSpaceDE w:val="0"/>
              <w:autoSpaceDN w:val="0"/>
              <w:adjustRightInd w:val="0"/>
              <w:jc w:val="both"/>
              <w:rPr>
                <w:rFonts w:eastAsia="Calibri" w:cs="Arial"/>
                <w:i/>
                <w:iCs/>
                <w:sz w:val="22"/>
                <w:szCs w:val="22"/>
                <w:lang w:val="es-CO" w:eastAsia="en-US"/>
              </w:rPr>
            </w:pPr>
          </w:p>
          <w:p w14:paraId="5177D7E3" w14:textId="77777777" w:rsidR="00177ED9" w:rsidRPr="00D44D9B" w:rsidRDefault="00177ED9" w:rsidP="00177ED9">
            <w:pPr>
              <w:autoSpaceDE w:val="0"/>
              <w:autoSpaceDN w:val="0"/>
              <w:adjustRightInd w:val="0"/>
              <w:jc w:val="both"/>
              <w:rPr>
                <w:rFonts w:eastAsia="Calibri" w:cs="Arial"/>
                <w:i/>
                <w:iCs/>
                <w:sz w:val="22"/>
                <w:szCs w:val="22"/>
                <w:lang w:val="es-CO" w:eastAsia="en-US"/>
              </w:rPr>
            </w:pPr>
            <w:r w:rsidRPr="00D44D9B">
              <w:rPr>
                <w:rFonts w:eastAsia="Calibri" w:cs="Arial"/>
                <w:i/>
                <w:iCs/>
                <w:sz w:val="22"/>
                <w:szCs w:val="22"/>
                <w:lang w:val="es-CO" w:eastAsia="en-US"/>
              </w:rPr>
              <w:t>F- La negociación colectiva en el sector público de manera reglada y ordenada es nueva en Colombia, a pesar de estar establecida en las NIT y en la Constitución Política de 1991; solo a partir del año 2012 cuando se reglamenta la Ley 411 de 1997, se inician los procesos de negociación colectiva a nivel nacional, territorial o local, por instituciones (hospitales, universidades públicas, por ejemplo), de manera importante.</w:t>
            </w:r>
          </w:p>
          <w:p w14:paraId="7DA1F554" w14:textId="77777777" w:rsidR="00177ED9" w:rsidRPr="00D44D9B" w:rsidRDefault="00177ED9" w:rsidP="00177ED9">
            <w:pPr>
              <w:autoSpaceDE w:val="0"/>
              <w:autoSpaceDN w:val="0"/>
              <w:adjustRightInd w:val="0"/>
              <w:jc w:val="both"/>
              <w:rPr>
                <w:rFonts w:eastAsia="Calibri" w:cs="Arial"/>
                <w:i/>
                <w:iCs/>
                <w:sz w:val="22"/>
                <w:szCs w:val="22"/>
                <w:lang w:val="es-CO" w:eastAsia="en-US"/>
              </w:rPr>
            </w:pPr>
          </w:p>
          <w:p w14:paraId="494D9DDD" w14:textId="77777777" w:rsidR="00177ED9" w:rsidRPr="00D44D9B" w:rsidRDefault="00177ED9" w:rsidP="00177ED9">
            <w:pPr>
              <w:autoSpaceDE w:val="0"/>
              <w:autoSpaceDN w:val="0"/>
              <w:adjustRightInd w:val="0"/>
              <w:jc w:val="both"/>
              <w:rPr>
                <w:rFonts w:eastAsia="Calibri" w:cs="Arial"/>
                <w:i/>
                <w:iCs/>
                <w:sz w:val="22"/>
                <w:szCs w:val="22"/>
                <w:lang w:val="es-CO" w:eastAsia="en-US"/>
              </w:rPr>
            </w:pPr>
            <w:r w:rsidRPr="00D44D9B">
              <w:rPr>
                <w:rFonts w:eastAsia="Calibri" w:cs="Arial"/>
                <w:i/>
                <w:iCs/>
                <w:sz w:val="22"/>
                <w:szCs w:val="22"/>
                <w:lang w:val="es-CO" w:eastAsia="en-US"/>
              </w:rPr>
              <w:t>G- En Colombia donde se transita por caminos de construcción de la paz a partir de los acuerdos del Gobierno Nacional con grupos al margen de la ley, también es importante resaltar estos procesos de negociación colectiva entre las entidades o autoridades públicas y las organizaciones sindicales de empleados públicos, que tienen fundamento constitucional, legal y reglamentario, hacia consolidar mejores condiciones de empleo, que repercutan también en beneficio de las entidades o autoridades públicas y de la sociedad, que podrán ayuda a cimentar las bases de una paz laboral incluyente e integral. El tema de los empleados, como el de los desempleados, debe ser de preocupación de todos.”</w:t>
            </w:r>
          </w:p>
          <w:p w14:paraId="41ADF4FC" w14:textId="77777777" w:rsidR="00177ED9" w:rsidRPr="00177ED9" w:rsidRDefault="00177ED9" w:rsidP="00177ED9">
            <w:pPr>
              <w:autoSpaceDE w:val="0"/>
              <w:autoSpaceDN w:val="0"/>
              <w:adjustRightInd w:val="0"/>
              <w:jc w:val="both"/>
              <w:rPr>
                <w:rFonts w:eastAsia="Calibri" w:cs="Arial"/>
                <w:sz w:val="22"/>
                <w:szCs w:val="22"/>
                <w:lang w:val="es-CO" w:eastAsia="en-US"/>
              </w:rPr>
            </w:pPr>
          </w:p>
          <w:p w14:paraId="13333C4F" w14:textId="297AA488" w:rsidR="00177ED9" w:rsidRPr="009F7CED" w:rsidRDefault="00177ED9" w:rsidP="00486F54">
            <w:pPr>
              <w:autoSpaceDE w:val="0"/>
              <w:autoSpaceDN w:val="0"/>
              <w:adjustRightInd w:val="0"/>
              <w:jc w:val="both"/>
              <w:rPr>
                <w:rFonts w:eastAsia="Calibri" w:cs="Arial"/>
                <w:sz w:val="22"/>
                <w:szCs w:val="22"/>
                <w:lang w:val="es-CO" w:eastAsia="en-US"/>
              </w:rPr>
            </w:pPr>
            <w:r w:rsidRPr="00177ED9">
              <w:rPr>
                <w:rFonts w:eastAsia="Calibri" w:cs="Arial"/>
                <w:sz w:val="22"/>
                <w:szCs w:val="22"/>
                <w:lang w:val="es-CO" w:eastAsia="en-US"/>
              </w:rPr>
              <w:t>Así las cosas, se hace imperativo dotar este proceso de negociación colectiva de reglas claras, que impulsen el proceso en el logro de acuerdos eficaces, en los tiempos adecuados que permitan la efectiva aplicació</w:t>
            </w:r>
            <w:r w:rsidR="00486F54">
              <w:rPr>
                <w:rFonts w:eastAsia="Calibri" w:cs="Arial"/>
                <w:sz w:val="22"/>
                <w:szCs w:val="22"/>
                <w:lang w:val="es-CO" w:eastAsia="en-US"/>
              </w:rPr>
              <w:t xml:space="preserve">n del acuerdo, lo que garantizará </w:t>
            </w:r>
            <w:r w:rsidRPr="00177ED9">
              <w:rPr>
                <w:rFonts w:eastAsia="Calibri" w:cs="Arial"/>
                <w:sz w:val="22"/>
                <w:szCs w:val="22"/>
                <w:lang w:val="es-CO" w:eastAsia="en-US"/>
              </w:rPr>
              <w:t>el fortalecimiento del movimiento sindical y el cumplimiento</w:t>
            </w:r>
            <w:r w:rsidR="00486F54">
              <w:rPr>
                <w:rFonts w:eastAsia="Calibri" w:cs="Arial"/>
                <w:sz w:val="22"/>
                <w:szCs w:val="22"/>
                <w:lang w:val="es-CO" w:eastAsia="en-US"/>
              </w:rPr>
              <w:t xml:space="preserve"> de los principios que rodean el correcto ejercicio de la Función P</w:t>
            </w:r>
            <w:r w:rsidRPr="00177ED9">
              <w:rPr>
                <w:rFonts w:eastAsia="Calibri" w:cs="Arial"/>
                <w:sz w:val="22"/>
                <w:szCs w:val="22"/>
                <w:lang w:val="es-CO" w:eastAsia="en-US"/>
              </w:rPr>
              <w:t>ública.</w:t>
            </w:r>
          </w:p>
        </w:tc>
      </w:tr>
      <w:tr w:rsidR="00DF60FD" w:rsidRPr="009F7CED" w14:paraId="58438FC5" w14:textId="77777777" w:rsidTr="0075705D">
        <w:trPr>
          <w:trHeight w:val="47"/>
        </w:trPr>
        <w:tc>
          <w:tcPr>
            <w:tcW w:w="10774" w:type="dxa"/>
            <w:gridSpan w:val="3"/>
            <w:shd w:val="clear" w:color="auto" w:fill="FFFFFF"/>
            <w:vAlign w:val="center"/>
          </w:tcPr>
          <w:p w14:paraId="42C3453A" w14:textId="77777777" w:rsidR="00251FCE" w:rsidRPr="009F7CED" w:rsidRDefault="00251FCE" w:rsidP="0075705D">
            <w:pPr>
              <w:jc w:val="both"/>
              <w:rPr>
                <w:lang w:eastAsia="es-CO"/>
              </w:rPr>
            </w:pPr>
          </w:p>
        </w:tc>
      </w:tr>
      <w:tr w:rsidR="00DF60FD" w:rsidRPr="009F7CED" w14:paraId="0205F8F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32EF6045" w14:textId="77777777" w:rsidR="00DF60FD" w:rsidRDefault="00DF60FD" w:rsidP="0075705D">
            <w:pPr>
              <w:numPr>
                <w:ilvl w:val="0"/>
                <w:numId w:val="44"/>
              </w:numPr>
              <w:ind w:left="494"/>
              <w:rPr>
                <w:rFonts w:cs="Arial"/>
                <w:b/>
                <w:color w:val="000000"/>
                <w:sz w:val="22"/>
                <w:szCs w:val="22"/>
              </w:rPr>
            </w:pPr>
            <w:r w:rsidRPr="009F7CED">
              <w:rPr>
                <w:rFonts w:cs="Arial"/>
                <w:b/>
                <w:color w:val="000000"/>
                <w:sz w:val="22"/>
                <w:szCs w:val="22"/>
              </w:rPr>
              <w:t>AMBITO DE APLICACIÓN Y SUJETO</w:t>
            </w:r>
            <w:r w:rsidR="00795C6B">
              <w:rPr>
                <w:rFonts w:cs="Arial"/>
                <w:b/>
                <w:color w:val="000000"/>
                <w:sz w:val="22"/>
                <w:szCs w:val="22"/>
              </w:rPr>
              <w:t>S</w:t>
            </w:r>
            <w:r w:rsidRPr="009F7CED">
              <w:rPr>
                <w:rFonts w:cs="Arial"/>
                <w:b/>
                <w:color w:val="000000"/>
                <w:sz w:val="22"/>
                <w:szCs w:val="22"/>
              </w:rPr>
              <w:t xml:space="preserve"> A QUIEN</w:t>
            </w:r>
            <w:r w:rsidR="00795C6B">
              <w:rPr>
                <w:rFonts w:cs="Arial"/>
                <w:b/>
                <w:color w:val="000000"/>
                <w:sz w:val="22"/>
                <w:szCs w:val="22"/>
              </w:rPr>
              <w:t>ES</w:t>
            </w:r>
            <w:r w:rsidRPr="009F7CED">
              <w:rPr>
                <w:rFonts w:cs="Arial"/>
                <w:b/>
                <w:color w:val="000000"/>
                <w:sz w:val="22"/>
                <w:szCs w:val="22"/>
              </w:rPr>
              <w:t xml:space="preserve"> VA DIRIGIDO</w:t>
            </w:r>
          </w:p>
          <w:p w14:paraId="244CF988" w14:textId="77777777" w:rsidR="00795C6B" w:rsidRPr="00795C6B" w:rsidRDefault="00696582" w:rsidP="0075705D">
            <w:pPr>
              <w:pStyle w:val="Listavistosa-nfasis11"/>
              <w:spacing w:line="240" w:lineRule="auto"/>
              <w:ind w:left="494"/>
              <w:jc w:val="both"/>
              <w:rPr>
                <w:rFonts w:ascii="Arial" w:hAnsi="Arial" w:cs="Arial"/>
                <w:i/>
                <w:color w:val="808080"/>
                <w:sz w:val="18"/>
              </w:rPr>
            </w:pPr>
            <w:r w:rsidRPr="00795C6B">
              <w:rPr>
                <w:rFonts w:ascii="Arial" w:hAnsi="Arial" w:cs="Arial"/>
                <w:i/>
                <w:color w:val="808080"/>
                <w:sz w:val="18"/>
              </w:rPr>
              <w:t xml:space="preserve"> </w:t>
            </w:r>
            <w:r w:rsidR="00795C6B" w:rsidRPr="00795C6B">
              <w:rPr>
                <w:rFonts w:ascii="Arial" w:hAnsi="Arial" w:cs="Arial"/>
                <w:i/>
                <w:color w:val="808080"/>
                <w:sz w:val="18"/>
              </w:rPr>
              <w:t>(Por favor indique el ámbito de aplicación o sujetos obligados de la norma)</w:t>
            </w:r>
          </w:p>
          <w:p w14:paraId="40A01BC8" w14:textId="795163A4" w:rsidR="00C1196D" w:rsidRPr="003B3586" w:rsidRDefault="00C1196D" w:rsidP="003B3586">
            <w:pPr>
              <w:jc w:val="both"/>
              <w:rPr>
                <w:rFonts w:cs="Arial"/>
                <w:sz w:val="22"/>
                <w:szCs w:val="22"/>
                <w:lang w:val="es-ES_tradnl"/>
              </w:rPr>
            </w:pPr>
            <w:r w:rsidRPr="003B3586">
              <w:rPr>
                <w:sz w:val="22"/>
                <w:szCs w:val="22"/>
              </w:rPr>
              <w:t>La norma aplica a los empleados públicos de todos los órganos, orga</w:t>
            </w:r>
            <w:r w:rsidR="00157D17">
              <w:rPr>
                <w:sz w:val="22"/>
                <w:szCs w:val="22"/>
              </w:rPr>
              <w:t xml:space="preserve">nismos y entidades del Estado en los niveles </w:t>
            </w:r>
            <w:r w:rsidRPr="003B3586">
              <w:rPr>
                <w:sz w:val="22"/>
                <w:szCs w:val="22"/>
              </w:rPr>
              <w:t>municipal</w:t>
            </w:r>
            <w:r w:rsidR="00157D17">
              <w:rPr>
                <w:sz w:val="22"/>
                <w:szCs w:val="22"/>
              </w:rPr>
              <w:t>, departamental y nacional</w:t>
            </w:r>
            <w:r w:rsidRPr="003B3586">
              <w:rPr>
                <w:sz w:val="22"/>
                <w:szCs w:val="22"/>
              </w:rPr>
              <w:t xml:space="preserve"> con excepción de los empleados públicos que desempeñen empleos en los niveles directivo y asesor, en cualquiera de los niveles de las distintas ramas, los trabajadores oficiales, </w:t>
            </w:r>
            <w:r w:rsidR="003B3586" w:rsidRPr="003B3586">
              <w:rPr>
                <w:rFonts w:cs="Arial"/>
                <w:sz w:val="22"/>
                <w:szCs w:val="22"/>
                <w:lang w:val="es-ES_tradnl"/>
              </w:rPr>
              <w:t>l</w:t>
            </w:r>
            <w:r w:rsidRPr="003B3586">
              <w:rPr>
                <w:rFonts w:cs="Arial"/>
                <w:sz w:val="22"/>
                <w:szCs w:val="22"/>
                <w:lang w:val="es-ES_tradnl"/>
              </w:rPr>
              <w:t>os empleados púbicos de elección popular y los directivos elegidos por el Congreso</w:t>
            </w:r>
            <w:r w:rsidR="00157D17">
              <w:rPr>
                <w:rFonts w:cs="Arial"/>
                <w:sz w:val="22"/>
                <w:szCs w:val="22"/>
                <w:lang w:val="es-ES_tradnl"/>
              </w:rPr>
              <w:t xml:space="preserve"> para cargos de sus propias cámaras</w:t>
            </w:r>
            <w:r w:rsidRPr="003B3586">
              <w:rPr>
                <w:rFonts w:cs="Arial"/>
                <w:sz w:val="22"/>
                <w:szCs w:val="22"/>
                <w:lang w:val="es-ES_tradnl"/>
              </w:rPr>
              <w:t xml:space="preserve">, </w:t>
            </w:r>
            <w:r w:rsidR="00157D17">
              <w:rPr>
                <w:rFonts w:cs="Arial"/>
                <w:sz w:val="22"/>
                <w:szCs w:val="22"/>
                <w:lang w:val="es-ES_tradnl"/>
              </w:rPr>
              <w:t xml:space="preserve">en los de las </w:t>
            </w:r>
            <w:r w:rsidRPr="003B3586">
              <w:rPr>
                <w:rFonts w:cs="Arial"/>
                <w:sz w:val="22"/>
                <w:szCs w:val="22"/>
                <w:lang w:val="es-ES_tradnl"/>
              </w:rPr>
              <w:t>Asambleas Departamentales, Concejos Municipales y Distritales</w:t>
            </w:r>
            <w:r w:rsidR="003B3586" w:rsidRPr="003B3586">
              <w:rPr>
                <w:rFonts w:cs="Arial"/>
                <w:sz w:val="22"/>
                <w:szCs w:val="22"/>
                <w:lang w:val="es-ES_tradnl"/>
              </w:rPr>
              <w:t xml:space="preserve">, </w:t>
            </w:r>
            <w:r w:rsidR="00157D17">
              <w:rPr>
                <w:rFonts w:cs="Arial"/>
                <w:sz w:val="22"/>
                <w:szCs w:val="22"/>
                <w:lang w:val="es-ES_tradnl"/>
              </w:rPr>
              <w:t xml:space="preserve">así como </w:t>
            </w:r>
            <w:r w:rsidR="00904D9E">
              <w:rPr>
                <w:rFonts w:cs="Arial"/>
                <w:sz w:val="22"/>
                <w:szCs w:val="22"/>
                <w:lang w:val="es-ES_tradnl"/>
              </w:rPr>
              <w:t>e</w:t>
            </w:r>
            <w:r w:rsidRPr="003B3586">
              <w:rPr>
                <w:rFonts w:cs="Arial"/>
                <w:sz w:val="22"/>
                <w:szCs w:val="22"/>
                <w:lang w:val="es-ES_tradnl"/>
              </w:rPr>
              <w:t>l personal uniformado de las Fuerzas Militares y de la Policía Nacional.</w:t>
            </w:r>
          </w:p>
          <w:p w14:paraId="0B1A10DF" w14:textId="77777777" w:rsidR="00795C6B" w:rsidRPr="009F7CED" w:rsidRDefault="00795C6B" w:rsidP="0075705D">
            <w:pPr>
              <w:rPr>
                <w:rFonts w:cs="Arial"/>
                <w:iCs/>
                <w:color w:val="000000"/>
                <w:sz w:val="22"/>
                <w:szCs w:val="22"/>
              </w:rPr>
            </w:pPr>
          </w:p>
        </w:tc>
      </w:tr>
      <w:tr w:rsidR="00DF60FD" w:rsidRPr="009F7CED" w14:paraId="2379D011" w14:textId="77777777" w:rsidTr="0075705D">
        <w:trPr>
          <w:trHeight w:val="278"/>
        </w:trPr>
        <w:tc>
          <w:tcPr>
            <w:tcW w:w="10774" w:type="dxa"/>
            <w:gridSpan w:val="3"/>
            <w:tcBorders>
              <w:bottom w:val="single" w:sz="4" w:space="0" w:color="auto"/>
            </w:tcBorders>
            <w:shd w:val="clear" w:color="auto" w:fill="FFFFFF"/>
            <w:vAlign w:val="center"/>
          </w:tcPr>
          <w:p w14:paraId="66B8361F" w14:textId="77777777" w:rsidR="00177ED9" w:rsidRDefault="00177ED9" w:rsidP="0075705D">
            <w:pPr>
              <w:ind w:left="494" w:hanging="283"/>
              <w:rPr>
                <w:rFonts w:cs="Arial"/>
                <w:b/>
                <w:color w:val="000000"/>
                <w:sz w:val="22"/>
                <w:szCs w:val="22"/>
              </w:rPr>
            </w:pPr>
          </w:p>
          <w:p w14:paraId="7BC0295A" w14:textId="77777777" w:rsidR="00177ED9" w:rsidRDefault="00177ED9" w:rsidP="0075705D">
            <w:pPr>
              <w:ind w:left="494" w:hanging="283"/>
              <w:rPr>
                <w:rFonts w:cs="Arial"/>
                <w:b/>
                <w:color w:val="000000"/>
                <w:sz w:val="22"/>
                <w:szCs w:val="22"/>
              </w:rPr>
            </w:pPr>
          </w:p>
          <w:p w14:paraId="3A2D70FA" w14:textId="44012A4A" w:rsidR="00DF60FD" w:rsidRDefault="00795C6B" w:rsidP="0075705D">
            <w:pPr>
              <w:ind w:left="494" w:hanging="283"/>
              <w:rPr>
                <w:rFonts w:cs="Arial"/>
                <w:b/>
                <w:color w:val="000000"/>
                <w:sz w:val="22"/>
                <w:szCs w:val="22"/>
              </w:rPr>
            </w:pPr>
            <w:r>
              <w:rPr>
                <w:rFonts w:cs="Arial"/>
                <w:b/>
                <w:color w:val="000000"/>
                <w:sz w:val="22"/>
                <w:szCs w:val="22"/>
              </w:rPr>
              <w:t xml:space="preserve">3. </w:t>
            </w:r>
            <w:r w:rsidR="00DF60FD" w:rsidRPr="009F7CED">
              <w:rPr>
                <w:rFonts w:cs="Arial"/>
                <w:b/>
                <w:color w:val="000000"/>
                <w:sz w:val="22"/>
                <w:szCs w:val="22"/>
              </w:rPr>
              <w:t>VIABILIDAD JURÍDICA</w:t>
            </w:r>
          </w:p>
          <w:p w14:paraId="7C53FEB6" w14:textId="77777777" w:rsidR="00D05B67" w:rsidRPr="00084B49" w:rsidRDefault="00D05B67" w:rsidP="0075705D">
            <w:pPr>
              <w:ind w:left="494" w:hanging="283"/>
              <w:rPr>
                <w:rFonts w:cs="Arial"/>
                <w:i/>
                <w:color w:val="808080"/>
                <w:sz w:val="18"/>
                <w:szCs w:val="22"/>
              </w:rPr>
            </w:pPr>
            <w:r w:rsidRPr="00084B49">
              <w:rPr>
                <w:rFonts w:cs="Arial"/>
                <w:i/>
                <w:color w:val="808080"/>
                <w:sz w:val="18"/>
                <w:szCs w:val="22"/>
              </w:rPr>
              <w:t>(Por favor desarrolle cada uno de los siguientes puntos)</w:t>
            </w:r>
          </w:p>
          <w:p w14:paraId="3D5F7F6F" w14:textId="77777777" w:rsidR="00D05B67" w:rsidRPr="00084B49" w:rsidRDefault="00D05B67" w:rsidP="0075705D">
            <w:pPr>
              <w:ind w:left="494" w:hanging="283"/>
              <w:rPr>
                <w:rFonts w:cs="Arial"/>
                <w:i/>
                <w:color w:val="808080"/>
                <w:sz w:val="22"/>
                <w:szCs w:val="22"/>
              </w:rPr>
            </w:pPr>
          </w:p>
          <w:p w14:paraId="13A88DC8" w14:textId="0622A6A9" w:rsidR="00795C6B" w:rsidRPr="001D7177" w:rsidRDefault="00795C6B" w:rsidP="0075705D">
            <w:pPr>
              <w:ind w:left="494" w:hanging="283"/>
              <w:jc w:val="both"/>
              <w:rPr>
                <w:rFonts w:cs="Arial"/>
                <w:b/>
                <w:bCs/>
                <w:sz w:val="22"/>
                <w:szCs w:val="22"/>
                <w:lang w:val="es-CO" w:eastAsia="es-CO"/>
              </w:rPr>
            </w:pPr>
            <w:r w:rsidRPr="001D7177">
              <w:rPr>
                <w:rFonts w:cs="Arial"/>
                <w:b/>
                <w:bCs/>
                <w:sz w:val="22"/>
                <w:szCs w:val="22"/>
                <w:lang w:val="es-CO" w:eastAsia="es-CO"/>
              </w:rPr>
              <w:t>3.1 Análisis de las normas que otorgan la competencia para la expedición del proyecto normativo</w:t>
            </w:r>
            <w:r w:rsidR="00527063">
              <w:rPr>
                <w:rFonts w:cs="Arial"/>
                <w:b/>
                <w:bCs/>
                <w:sz w:val="22"/>
                <w:szCs w:val="22"/>
                <w:lang w:val="es-CO" w:eastAsia="es-CO"/>
              </w:rPr>
              <w:t>.</w:t>
            </w:r>
          </w:p>
          <w:p w14:paraId="7816CCF7" w14:textId="77777777" w:rsidR="009A4701" w:rsidRPr="001D7177" w:rsidRDefault="009A4701" w:rsidP="0075705D">
            <w:pPr>
              <w:ind w:left="494" w:hanging="283"/>
              <w:jc w:val="both"/>
              <w:rPr>
                <w:rFonts w:cs="Arial"/>
                <w:b/>
                <w:bCs/>
                <w:sz w:val="22"/>
                <w:szCs w:val="22"/>
                <w:lang w:val="es-CO" w:eastAsia="es-CO"/>
              </w:rPr>
            </w:pPr>
          </w:p>
          <w:p w14:paraId="6D7FFCB4" w14:textId="3F32B4EE" w:rsidR="00D44D9B" w:rsidRPr="003E7814" w:rsidRDefault="00D44D9B" w:rsidP="00453C40">
            <w:pPr>
              <w:jc w:val="both"/>
              <w:rPr>
                <w:rFonts w:ascii="Arial Narrow" w:hAnsi="Arial Narrow" w:cs="Arial"/>
                <w:b/>
                <w:bCs/>
                <w:sz w:val="22"/>
                <w:szCs w:val="22"/>
                <w:lang w:val="es-CO" w:eastAsia="es-CO"/>
              </w:rPr>
            </w:pPr>
          </w:p>
          <w:p w14:paraId="620E7B67" w14:textId="77777777" w:rsidR="00D44D9B" w:rsidRPr="003E7814" w:rsidRDefault="00D44D9B" w:rsidP="00D44D9B">
            <w:pPr>
              <w:ind w:left="494" w:hanging="283"/>
              <w:jc w:val="both"/>
              <w:rPr>
                <w:rFonts w:ascii="Arial Narrow" w:hAnsi="Arial Narrow" w:cs="Arial"/>
                <w:sz w:val="22"/>
                <w:szCs w:val="22"/>
                <w:lang w:val="es-CO" w:eastAsia="es-CO"/>
              </w:rPr>
            </w:pPr>
          </w:p>
          <w:p w14:paraId="60A0FB8D" w14:textId="77777777" w:rsidR="00D44D9B" w:rsidRPr="00D44D9B" w:rsidRDefault="00D44D9B" w:rsidP="00D44D9B">
            <w:pPr>
              <w:jc w:val="both"/>
              <w:rPr>
                <w:rFonts w:cs="Arial"/>
                <w:sz w:val="22"/>
                <w:szCs w:val="22"/>
              </w:rPr>
            </w:pPr>
            <w:r w:rsidRPr="00D44D9B">
              <w:rPr>
                <w:rFonts w:cs="Arial"/>
                <w:sz w:val="22"/>
                <w:szCs w:val="22"/>
              </w:rPr>
              <w:lastRenderedPageBreak/>
              <w:t xml:space="preserve">El Presidente de la República es competente para expedir el presente decreto, teniendo en cuenta que por disposición del numeral 11 del artículo 189 de la Constitución Política, le corresponde: </w:t>
            </w:r>
          </w:p>
          <w:p w14:paraId="1ADF47F6" w14:textId="77777777" w:rsidR="00D44D9B" w:rsidRPr="00D44D9B" w:rsidRDefault="00D44D9B" w:rsidP="00D44D9B">
            <w:pPr>
              <w:jc w:val="both"/>
              <w:rPr>
                <w:rFonts w:cs="Arial"/>
                <w:sz w:val="22"/>
                <w:szCs w:val="22"/>
              </w:rPr>
            </w:pPr>
          </w:p>
          <w:p w14:paraId="02D865E3" w14:textId="77777777" w:rsidR="00D44D9B" w:rsidRPr="00D44D9B" w:rsidRDefault="00D44D9B" w:rsidP="00D44D9B">
            <w:pPr>
              <w:jc w:val="both"/>
              <w:rPr>
                <w:rFonts w:cs="Arial"/>
                <w:sz w:val="22"/>
                <w:szCs w:val="22"/>
              </w:rPr>
            </w:pPr>
            <w:r w:rsidRPr="00D44D9B">
              <w:rPr>
                <w:rFonts w:cs="Arial"/>
                <w:sz w:val="22"/>
                <w:szCs w:val="22"/>
              </w:rPr>
              <w:t>“11) Ejercer la potestad reglamentaria, mediante la expedición de los decretos, resoluciones y órdenes necesarios para la cumplida ejecución de las leyes.”</w:t>
            </w:r>
          </w:p>
          <w:p w14:paraId="42C96DD0" w14:textId="77777777" w:rsidR="00D44D9B" w:rsidRPr="00D44D9B" w:rsidRDefault="00D44D9B" w:rsidP="00D44D9B">
            <w:pPr>
              <w:jc w:val="both"/>
              <w:rPr>
                <w:rFonts w:cs="Arial"/>
                <w:sz w:val="22"/>
                <w:szCs w:val="22"/>
              </w:rPr>
            </w:pPr>
          </w:p>
          <w:p w14:paraId="44868ED2" w14:textId="5D11F161" w:rsidR="00D44D9B" w:rsidRPr="00D44D9B" w:rsidRDefault="00527063" w:rsidP="00D44D9B">
            <w:pPr>
              <w:jc w:val="both"/>
              <w:rPr>
                <w:rFonts w:cs="Arial"/>
                <w:sz w:val="22"/>
                <w:szCs w:val="22"/>
              </w:rPr>
            </w:pPr>
            <w:r>
              <w:rPr>
                <w:rFonts w:cs="Arial"/>
                <w:sz w:val="22"/>
                <w:szCs w:val="22"/>
              </w:rPr>
              <w:t>Es pertinente detallar qué</w:t>
            </w:r>
            <w:r w:rsidR="00D44D9B" w:rsidRPr="00D44D9B">
              <w:rPr>
                <w:rFonts w:cs="Arial"/>
                <w:sz w:val="22"/>
                <w:szCs w:val="22"/>
              </w:rPr>
              <w:t xml:space="preserve"> ha señalado la Corte Constitucional respecto a la potestad reglamentaria prescrita en el artículo 189-11 de la Constitución Política</w:t>
            </w:r>
            <w:r>
              <w:rPr>
                <w:rFonts w:cs="Arial"/>
                <w:sz w:val="22"/>
                <w:szCs w:val="22"/>
              </w:rPr>
              <w:t>,</w:t>
            </w:r>
            <w:r w:rsidR="00D44D9B" w:rsidRPr="00D44D9B">
              <w:rPr>
                <w:rFonts w:cs="Arial"/>
                <w:sz w:val="22"/>
                <w:szCs w:val="22"/>
              </w:rPr>
              <w:t xml:space="preserve"> que implica que </w:t>
            </w:r>
            <w:r w:rsidR="00D44D9B" w:rsidRPr="00D44D9B">
              <w:rPr>
                <w:rFonts w:cs="Arial"/>
                <w:i/>
                <w:iCs/>
                <w:sz w:val="22"/>
                <w:szCs w:val="22"/>
              </w:rPr>
              <w:t xml:space="preserve">“el Ejecutivo está revestido de la facultad para expedir decretos, resoluciones y órdenes necesarios para la cumplida ejecución de las leyes. La potestad reglamentaria, en consecuencia, tiene naturaleza “ordinaria, derivada, limitada y permanente”. Es ordinaria en razón a que es una función de la Rama Ejecutiva, sin que para su ejercicio requiera de habilitación distinta de la norma constitucional que la confiere. Tiene carácter derivado, puesto que requiere de la preexistencia de material legislativo para su ejercicio. Es limitada porque “encuentra su límite y radio de acción en la constitución y en la ley, por lo que no puede alterar o modificar el contenido y el espíritu de la ley, ni puede dirigirse a reglamentar leyes que no ejecuta la administración, así como tampoco puede reglamentar materias cuyo contenido está reservado al legislador”. Por último, “la potestad reglamentaria es permanente, habida cuenta que el Gobierno puede hacer uso de </w:t>
            </w:r>
            <w:proofErr w:type="gramStart"/>
            <w:r w:rsidR="00D44D9B" w:rsidRPr="00D44D9B">
              <w:rPr>
                <w:rFonts w:cs="Arial"/>
                <w:i/>
                <w:iCs/>
                <w:sz w:val="22"/>
                <w:szCs w:val="22"/>
              </w:rPr>
              <w:t>la misma</w:t>
            </w:r>
            <w:proofErr w:type="gramEnd"/>
            <w:r w:rsidR="00D44D9B" w:rsidRPr="00D44D9B">
              <w:rPr>
                <w:rFonts w:cs="Arial"/>
                <w:i/>
                <w:iCs/>
                <w:sz w:val="22"/>
                <w:szCs w:val="22"/>
              </w:rPr>
              <w:t xml:space="preserve"> tantas veces como lo considere oportuno para la cumplida ejecución de la ley de que se trate y hasta tanto ésta conserve su vigencia.”</w:t>
            </w:r>
            <w:r w:rsidR="00D44D9B" w:rsidRPr="00D44D9B">
              <w:rPr>
                <w:rFonts w:cs="Arial"/>
                <w:sz w:val="22"/>
                <w:szCs w:val="22"/>
              </w:rPr>
              <w:t xml:space="preserve"> Sentencia C – 748 de 2011.</w:t>
            </w:r>
          </w:p>
          <w:p w14:paraId="7921D8FD" w14:textId="77777777" w:rsidR="00D44D9B" w:rsidRPr="00D44D9B" w:rsidRDefault="00D44D9B" w:rsidP="00D44D9B">
            <w:pPr>
              <w:jc w:val="both"/>
              <w:rPr>
                <w:rFonts w:cs="Arial"/>
                <w:sz w:val="22"/>
                <w:szCs w:val="22"/>
              </w:rPr>
            </w:pPr>
          </w:p>
          <w:p w14:paraId="1238F09D" w14:textId="26732E83" w:rsidR="00932D02" w:rsidRDefault="003C4960" w:rsidP="003C4960">
            <w:pPr>
              <w:jc w:val="both"/>
              <w:rPr>
                <w:sz w:val="22"/>
                <w:szCs w:val="22"/>
              </w:rPr>
            </w:pPr>
            <w:r>
              <w:rPr>
                <w:sz w:val="22"/>
                <w:szCs w:val="22"/>
              </w:rPr>
              <w:t>En todo caso, el proyecto de decreto fue elaborado con las definiciones previas a los que hace referencia el Manual para la Elaboración de Textos Normativos, Proyectos de Decreto y Resolución, anexo al Decreto 1081 de 2015.</w:t>
            </w:r>
          </w:p>
          <w:p w14:paraId="4453FDEF" w14:textId="77777777" w:rsidR="00795C6B" w:rsidRDefault="00795C6B" w:rsidP="003C4960">
            <w:pPr>
              <w:jc w:val="both"/>
              <w:rPr>
                <w:rFonts w:cs="Arial"/>
                <w:sz w:val="22"/>
                <w:szCs w:val="22"/>
                <w:lang w:val="es-CO" w:eastAsia="es-CO"/>
              </w:rPr>
            </w:pPr>
          </w:p>
          <w:p w14:paraId="27E8C19B" w14:textId="77777777" w:rsidR="00D44D9B" w:rsidRDefault="00D44D9B" w:rsidP="003C4960">
            <w:pPr>
              <w:jc w:val="both"/>
              <w:rPr>
                <w:rFonts w:cs="Arial"/>
                <w:sz w:val="22"/>
                <w:szCs w:val="22"/>
                <w:lang w:val="es-CO" w:eastAsia="es-CO"/>
              </w:rPr>
            </w:pPr>
          </w:p>
          <w:p w14:paraId="65419037" w14:textId="77777777" w:rsidR="00795C6B" w:rsidRPr="001D7177" w:rsidRDefault="00795C6B" w:rsidP="0075705D">
            <w:pPr>
              <w:ind w:left="494" w:hanging="283"/>
              <w:jc w:val="both"/>
              <w:rPr>
                <w:rFonts w:cs="Arial"/>
                <w:b/>
                <w:bCs/>
                <w:sz w:val="22"/>
                <w:szCs w:val="22"/>
                <w:lang w:val="es-CO" w:eastAsia="es-CO"/>
              </w:rPr>
            </w:pPr>
            <w:r w:rsidRPr="001D7177">
              <w:rPr>
                <w:rFonts w:cs="Arial"/>
                <w:b/>
                <w:bCs/>
                <w:sz w:val="22"/>
                <w:szCs w:val="22"/>
                <w:lang w:val="es-CO" w:eastAsia="es-CO"/>
              </w:rPr>
              <w:t>3.2 Vigencia de la ley o norma reglamentada o desarrollada</w:t>
            </w:r>
          </w:p>
          <w:p w14:paraId="033B7808" w14:textId="77777777" w:rsidR="009A4701" w:rsidRDefault="009A4701" w:rsidP="009A4701">
            <w:pPr>
              <w:jc w:val="both"/>
              <w:rPr>
                <w:rFonts w:cs="Arial"/>
                <w:sz w:val="22"/>
                <w:szCs w:val="22"/>
                <w:lang w:val="es-CO" w:eastAsia="es-CO"/>
              </w:rPr>
            </w:pPr>
          </w:p>
          <w:p w14:paraId="54D32862" w14:textId="6707E600" w:rsidR="00D44358" w:rsidRPr="00D44358" w:rsidRDefault="00BD5459" w:rsidP="00D44358">
            <w:pPr>
              <w:jc w:val="both"/>
              <w:rPr>
                <w:rFonts w:cs="Arial"/>
                <w:sz w:val="22"/>
                <w:szCs w:val="22"/>
                <w:lang w:val="es-ES_tradnl"/>
              </w:rPr>
            </w:pPr>
            <w:r w:rsidRPr="00D44358">
              <w:rPr>
                <w:rFonts w:eastAsia="Arial" w:cs="Arial"/>
                <w:sz w:val="22"/>
                <w:szCs w:val="22"/>
              </w:rPr>
              <w:t>El Decreto 1072 de 2015</w:t>
            </w:r>
            <w:r w:rsidR="00D475AD" w:rsidRPr="00D44358">
              <w:rPr>
                <w:rFonts w:eastAsia="Arial" w:cs="Arial"/>
                <w:sz w:val="22"/>
                <w:szCs w:val="22"/>
              </w:rPr>
              <w:t xml:space="preserve"> – “</w:t>
            </w:r>
            <w:r w:rsidR="00D475AD" w:rsidRPr="00D44358">
              <w:rPr>
                <w:rStyle w:val="nfasis"/>
                <w:rFonts w:cs="Arial"/>
                <w:b/>
                <w:bCs/>
                <w:color w:val="333333"/>
                <w:sz w:val="22"/>
                <w:szCs w:val="22"/>
                <w:shd w:val="clear" w:color="auto" w:fill="FFFFFF"/>
              </w:rPr>
              <w:t>Por medio del cual se expide el Decreto Único Reglamentario del Sector Trabajo”</w:t>
            </w:r>
            <w:r w:rsidR="00D475AD" w:rsidRPr="00D44358">
              <w:rPr>
                <w:rFonts w:eastAsia="Arial" w:cs="Arial"/>
                <w:sz w:val="22"/>
                <w:szCs w:val="22"/>
              </w:rPr>
              <w:t xml:space="preserve"> se encuentra vigente</w:t>
            </w:r>
            <w:r w:rsidR="00D031D1" w:rsidRPr="00D44358">
              <w:rPr>
                <w:rFonts w:eastAsia="Arial" w:cs="Arial"/>
                <w:sz w:val="22"/>
                <w:szCs w:val="22"/>
              </w:rPr>
              <w:t xml:space="preserve">, </w:t>
            </w:r>
            <w:r w:rsidR="00926DE3">
              <w:rPr>
                <w:rFonts w:eastAsia="Arial" w:cs="Arial"/>
                <w:sz w:val="22"/>
                <w:szCs w:val="22"/>
              </w:rPr>
              <w:t>por lo que</w:t>
            </w:r>
            <w:r w:rsidR="00D031D1" w:rsidRPr="00D44358">
              <w:rPr>
                <w:rFonts w:eastAsia="Arial" w:cs="Arial"/>
                <w:sz w:val="22"/>
                <w:szCs w:val="22"/>
              </w:rPr>
              <w:t xml:space="preserve"> </w:t>
            </w:r>
            <w:r w:rsidR="00D031D1" w:rsidRPr="00D44358">
              <w:rPr>
                <w:rFonts w:cs="Arial"/>
                <w:sz w:val="22"/>
                <w:szCs w:val="22"/>
                <w:lang w:val="es-CO" w:eastAsia="es-CO"/>
              </w:rPr>
              <w:t>el Gobierno nacional tiene la facultad de evaluar la pertinencia de su</w:t>
            </w:r>
            <w:r w:rsidR="00D222AE" w:rsidRPr="00D44358">
              <w:rPr>
                <w:rFonts w:cs="Arial"/>
                <w:sz w:val="22"/>
                <w:szCs w:val="22"/>
                <w:lang w:val="es-CO" w:eastAsia="es-CO"/>
              </w:rPr>
              <w:t xml:space="preserve"> modificación o adición </w:t>
            </w:r>
            <w:r w:rsidR="00D031D1" w:rsidRPr="00D44358">
              <w:rPr>
                <w:rFonts w:cs="Arial"/>
                <w:sz w:val="22"/>
                <w:szCs w:val="22"/>
                <w:lang w:val="es-CO" w:eastAsia="es-CO"/>
              </w:rPr>
              <w:t>de acuerdo con l</w:t>
            </w:r>
            <w:r w:rsidR="00D222AE" w:rsidRPr="00D44358">
              <w:rPr>
                <w:rFonts w:cs="Arial"/>
                <w:sz w:val="22"/>
                <w:szCs w:val="22"/>
                <w:lang w:val="es-CO" w:eastAsia="es-CO"/>
              </w:rPr>
              <w:t xml:space="preserve">as necesidades o realidades del sector trabajo, </w:t>
            </w:r>
            <w:r w:rsidR="00D031D1" w:rsidRPr="00D44358">
              <w:rPr>
                <w:rFonts w:cs="Arial"/>
                <w:sz w:val="22"/>
                <w:szCs w:val="22"/>
                <w:lang w:val="es-CO" w:eastAsia="es-CO"/>
              </w:rPr>
              <w:t xml:space="preserve">pudiendo </w:t>
            </w:r>
            <w:r w:rsidR="0061489A" w:rsidRPr="00D44358">
              <w:rPr>
                <w:rFonts w:cs="Arial"/>
                <w:sz w:val="22"/>
                <w:szCs w:val="22"/>
                <w:lang w:val="es-CO" w:eastAsia="es-CO"/>
              </w:rPr>
              <w:t xml:space="preserve">para este caso, </w:t>
            </w:r>
            <w:r w:rsidR="00D031D1" w:rsidRPr="00D44358">
              <w:rPr>
                <w:rFonts w:cs="Arial"/>
                <w:sz w:val="22"/>
                <w:szCs w:val="22"/>
                <w:lang w:val="es-CO" w:eastAsia="es-CO"/>
              </w:rPr>
              <w:t xml:space="preserve">rediseñar </w:t>
            </w:r>
            <w:r w:rsidR="00D44358" w:rsidRPr="00D44358">
              <w:rPr>
                <w:rFonts w:cs="Arial"/>
                <w:sz w:val="22"/>
                <w:szCs w:val="22"/>
                <w:lang w:val="es-CO" w:eastAsia="es-CO"/>
              </w:rPr>
              <w:t xml:space="preserve">lo relacionado con </w:t>
            </w:r>
            <w:r w:rsidR="00D44358" w:rsidRPr="00D44358">
              <w:rPr>
                <w:rFonts w:cs="Arial"/>
                <w:sz w:val="22"/>
                <w:szCs w:val="22"/>
                <w:lang w:val="es-ES_tradnl"/>
              </w:rPr>
              <w:t>regulación del procedimiento para la negociación de las condiciones de empleo entre las entidades y autoridades competentes y las organizaciones sindicales de empleados públicos.</w:t>
            </w:r>
          </w:p>
          <w:p w14:paraId="32DCA768" w14:textId="0AE5AA70" w:rsidR="00D475AD" w:rsidRPr="00D44358" w:rsidRDefault="00D475AD" w:rsidP="00D475AD">
            <w:pPr>
              <w:jc w:val="both"/>
              <w:rPr>
                <w:rFonts w:cs="Arial"/>
                <w:sz w:val="22"/>
                <w:szCs w:val="22"/>
                <w:lang w:val="es-CO" w:eastAsia="es-CO"/>
              </w:rPr>
            </w:pPr>
          </w:p>
          <w:p w14:paraId="72C98E04" w14:textId="77777777" w:rsidR="00D44D9B" w:rsidRDefault="00D44D9B" w:rsidP="0075705D">
            <w:pPr>
              <w:ind w:left="494" w:hanging="283"/>
              <w:jc w:val="both"/>
              <w:rPr>
                <w:rFonts w:cs="Arial"/>
                <w:b/>
                <w:bCs/>
                <w:sz w:val="22"/>
                <w:szCs w:val="22"/>
                <w:lang w:val="es-CO" w:eastAsia="es-CO"/>
              </w:rPr>
            </w:pPr>
          </w:p>
          <w:p w14:paraId="6D84F861" w14:textId="3CE2C349" w:rsidR="00795C6B" w:rsidRPr="001C2BBD" w:rsidRDefault="00795C6B" w:rsidP="0075705D">
            <w:pPr>
              <w:ind w:left="494" w:hanging="283"/>
              <w:jc w:val="both"/>
              <w:rPr>
                <w:rFonts w:cs="Arial"/>
                <w:b/>
                <w:bCs/>
                <w:sz w:val="22"/>
                <w:szCs w:val="22"/>
                <w:lang w:val="es-CO" w:eastAsia="es-CO"/>
              </w:rPr>
            </w:pPr>
            <w:r w:rsidRPr="001C2BBD">
              <w:rPr>
                <w:rFonts w:cs="Arial"/>
                <w:b/>
                <w:bCs/>
                <w:sz w:val="22"/>
                <w:szCs w:val="22"/>
                <w:lang w:val="es-CO" w:eastAsia="es-CO"/>
              </w:rPr>
              <w:t>3.3. Disposiciones deroga</w:t>
            </w:r>
            <w:r w:rsidR="00D44D9B">
              <w:rPr>
                <w:rFonts w:cs="Arial"/>
                <w:b/>
                <w:bCs/>
                <w:sz w:val="22"/>
                <w:szCs w:val="22"/>
                <w:lang w:val="es-CO" w:eastAsia="es-CO"/>
              </w:rPr>
              <w:t>das</w:t>
            </w:r>
            <w:r w:rsidRPr="001C2BBD">
              <w:rPr>
                <w:rFonts w:cs="Arial"/>
                <w:b/>
                <w:bCs/>
                <w:sz w:val="22"/>
                <w:szCs w:val="22"/>
                <w:lang w:val="es-CO" w:eastAsia="es-CO"/>
              </w:rPr>
              <w:t>, subrogadas, modificadas, adicionadas</w:t>
            </w:r>
            <w:r w:rsidR="00D05B67" w:rsidRPr="001C2BBD">
              <w:rPr>
                <w:rFonts w:cs="Arial"/>
                <w:b/>
                <w:bCs/>
                <w:sz w:val="22"/>
                <w:szCs w:val="22"/>
                <w:lang w:val="es-CO" w:eastAsia="es-CO"/>
              </w:rPr>
              <w:t xml:space="preserve"> o sustituidas </w:t>
            </w:r>
          </w:p>
          <w:p w14:paraId="21398498" w14:textId="77777777" w:rsidR="00D05B67" w:rsidRDefault="00D05B67" w:rsidP="0075705D">
            <w:pPr>
              <w:ind w:left="494" w:hanging="283"/>
              <w:jc w:val="both"/>
              <w:rPr>
                <w:rFonts w:cs="Arial"/>
                <w:sz w:val="22"/>
                <w:szCs w:val="22"/>
                <w:lang w:val="es-CO" w:eastAsia="es-CO"/>
              </w:rPr>
            </w:pPr>
          </w:p>
          <w:p w14:paraId="1C7AA7C3" w14:textId="5A11537F" w:rsidR="001C2BBD" w:rsidRDefault="001C2BBD" w:rsidP="001C2BBD">
            <w:pPr>
              <w:jc w:val="both"/>
              <w:rPr>
                <w:rFonts w:cs="Arial"/>
                <w:sz w:val="22"/>
                <w:szCs w:val="22"/>
                <w:lang w:val="es-ES_tradnl"/>
              </w:rPr>
            </w:pPr>
            <w:r>
              <w:rPr>
                <w:rFonts w:cs="Arial"/>
                <w:sz w:val="22"/>
                <w:szCs w:val="22"/>
                <w:lang w:val="es-CO" w:eastAsia="es-CO"/>
              </w:rPr>
              <w:t xml:space="preserve">El presente acto modifica el </w:t>
            </w:r>
            <w:r w:rsidRPr="001D7177">
              <w:rPr>
                <w:rFonts w:cs="Arial"/>
                <w:sz w:val="22"/>
                <w:szCs w:val="22"/>
                <w:lang w:val="es-CO" w:eastAsia="es-CO"/>
              </w:rPr>
              <w:t>Capítulo 4 del Título 2 de la Parte 2 del Libro 2 del Decreto 1072 de 2015, Decreto Único Reglamentario del Sector Trabajo en lo relativo a los procedimientos de negociación y solución de controversias con las organizaciones de empleados públicos</w:t>
            </w:r>
            <w:r>
              <w:rPr>
                <w:rFonts w:cs="Arial"/>
                <w:sz w:val="22"/>
                <w:szCs w:val="22"/>
                <w:lang w:val="es-CO" w:eastAsia="es-CO"/>
              </w:rPr>
              <w:t>, modificando los artículos</w:t>
            </w:r>
            <w:r w:rsidRPr="001D7177">
              <w:rPr>
                <w:rFonts w:cs="Arial"/>
                <w:sz w:val="22"/>
                <w:szCs w:val="22"/>
                <w:lang w:val="es-ES_tradnl"/>
              </w:rPr>
              <w:t xml:space="preserve"> 2.2.2.4.1 a 2.2.2.4.15 del Decreto Único Reglamentario del Sector Trabajo 1072 de 2015</w:t>
            </w:r>
            <w:r w:rsidR="0050029E">
              <w:rPr>
                <w:rFonts w:cs="Arial"/>
                <w:sz w:val="22"/>
                <w:szCs w:val="22"/>
                <w:lang w:val="es-ES_tradnl"/>
              </w:rPr>
              <w:t>.</w:t>
            </w:r>
          </w:p>
          <w:p w14:paraId="2F198EE0" w14:textId="77777777" w:rsidR="00D44D9B" w:rsidRDefault="00D44D9B" w:rsidP="001C2BBD">
            <w:pPr>
              <w:jc w:val="both"/>
              <w:rPr>
                <w:rFonts w:cs="Arial"/>
                <w:sz w:val="22"/>
                <w:szCs w:val="22"/>
                <w:lang w:val="es-CO" w:eastAsia="es-CO"/>
              </w:rPr>
            </w:pPr>
          </w:p>
          <w:p w14:paraId="074D0515" w14:textId="77777777" w:rsidR="001C2BBD" w:rsidRDefault="001C2BBD" w:rsidP="0075705D">
            <w:pPr>
              <w:ind w:left="494" w:hanging="283"/>
              <w:jc w:val="both"/>
              <w:rPr>
                <w:rFonts w:cs="Arial"/>
                <w:sz w:val="22"/>
                <w:szCs w:val="22"/>
                <w:lang w:val="es-CO" w:eastAsia="es-CO"/>
              </w:rPr>
            </w:pPr>
          </w:p>
          <w:p w14:paraId="36A08FAA" w14:textId="77777777" w:rsidR="00D05B67" w:rsidRDefault="00D05B67" w:rsidP="0075705D">
            <w:pPr>
              <w:ind w:left="494" w:hanging="283"/>
              <w:jc w:val="both"/>
              <w:rPr>
                <w:rFonts w:cs="Arial"/>
                <w:b/>
                <w:bCs/>
                <w:sz w:val="22"/>
                <w:szCs w:val="22"/>
                <w:lang w:val="es-CO" w:eastAsia="es-CO"/>
              </w:rPr>
            </w:pPr>
            <w:r w:rsidRPr="001C2BBD">
              <w:rPr>
                <w:rFonts w:cs="Arial"/>
                <w:b/>
                <w:bCs/>
                <w:sz w:val="22"/>
                <w:szCs w:val="22"/>
                <w:lang w:val="es-CO" w:eastAsia="es-CO"/>
              </w:rPr>
              <w:t>3.4 Revisión y análisis de la jurisprudencia que tenga impacto o sea relevante para la expedición del proyecto normativo (órganos de cierre de cada jurisdicción)</w:t>
            </w:r>
          </w:p>
          <w:p w14:paraId="0DBC24AF" w14:textId="77777777" w:rsidR="001349E1" w:rsidRDefault="001349E1" w:rsidP="0075705D">
            <w:pPr>
              <w:ind w:left="494" w:hanging="283"/>
              <w:jc w:val="both"/>
              <w:rPr>
                <w:rFonts w:cs="Arial"/>
                <w:b/>
                <w:bCs/>
                <w:sz w:val="22"/>
                <w:szCs w:val="22"/>
                <w:lang w:val="es-CO" w:eastAsia="es-CO"/>
              </w:rPr>
            </w:pPr>
          </w:p>
          <w:p w14:paraId="69C2A51E" w14:textId="77777777" w:rsidR="00BD256B" w:rsidRDefault="00BD256B" w:rsidP="00BD256B">
            <w:pPr>
              <w:pStyle w:val="Prrafodelista"/>
              <w:numPr>
                <w:ilvl w:val="0"/>
                <w:numId w:val="50"/>
              </w:numPr>
              <w:jc w:val="both"/>
              <w:rPr>
                <w:rFonts w:ascii="Arial" w:hAnsi="Arial" w:cs="Arial"/>
                <w:b/>
                <w:bCs/>
                <w:sz w:val="22"/>
                <w:szCs w:val="22"/>
              </w:rPr>
            </w:pPr>
            <w:r w:rsidRPr="00203C3B">
              <w:rPr>
                <w:rFonts w:ascii="Arial" w:hAnsi="Arial" w:cs="Arial"/>
                <w:b/>
                <w:bCs/>
                <w:sz w:val="22"/>
                <w:szCs w:val="22"/>
              </w:rPr>
              <w:t>Sentencia Nº 11001-03-25-000-2014-00486-00 de Consejo de Estado (SECCIÓN SEGUNDA SUBSECCIÓN A) del 19-08-2021, dentro del proceso de nulidad del Decreto 160 de 2014.</w:t>
            </w:r>
          </w:p>
          <w:p w14:paraId="6B45549A" w14:textId="77777777" w:rsidR="00BD256B" w:rsidRDefault="00BD256B" w:rsidP="00BD256B">
            <w:pPr>
              <w:jc w:val="both"/>
              <w:rPr>
                <w:rFonts w:cs="Arial"/>
                <w:b/>
                <w:bCs/>
                <w:sz w:val="22"/>
                <w:szCs w:val="22"/>
              </w:rPr>
            </w:pPr>
          </w:p>
          <w:p w14:paraId="5DCB7694" w14:textId="6629EB07" w:rsidR="00BD256B" w:rsidRDefault="00BD256B" w:rsidP="00BD256B">
            <w:pPr>
              <w:jc w:val="both"/>
              <w:rPr>
                <w:rFonts w:cs="Arial"/>
                <w:i/>
                <w:iCs/>
                <w:sz w:val="22"/>
                <w:szCs w:val="22"/>
              </w:rPr>
            </w:pPr>
            <w:r>
              <w:rPr>
                <w:rFonts w:cs="Arial"/>
                <w:b/>
                <w:bCs/>
                <w:sz w:val="22"/>
                <w:szCs w:val="22"/>
              </w:rPr>
              <w:lastRenderedPageBreak/>
              <w:t xml:space="preserve">Extractos pertinentes: </w:t>
            </w:r>
            <w:r>
              <w:rPr>
                <w:rFonts w:cs="Arial"/>
                <w:b/>
                <w:bCs/>
                <w:i/>
                <w:iCs/>
                <w:sz w:val="22"/>
                <w:szCs w:val="22"/>
              </w:rPr>
              <w:t>“</w:t>
            </w:r>
            <w:r w:rsidRPr="00203C3B">
              <w:rPr>
                <w:rFonts w:cs="Arial"/>
                <w:i/>
                <w:iCs/>
                <w:sz w:val="22"/>
                <w:szCs w:val="22"/>
              </w:rPr>
              <w:t xml:space="preserve">Ahora bien, el artículo 416 del CST, al decir que los empleados públicos no pueden presentar pliegos de peticiones, ni celebrar convenciones colectivas, excluye </w:t>
            </w:r>
            <w:r w:rsidR="00407A7D" w:rsidRPr="00203C3B">
              <w:rPr>
                <w:rFonts w:cs="Arial"/>
                <w:i/>
                <w:iCs/>
                <w:sz w:val="22"/>
                <w:szCs w:val="22"/>
              </w:rPr>
              <w:t>estas</w:t>
            </w:r>
            <w:r w:rsidRPr="00203C3B">
              <w:rPr>
                <w:rFonts w:cs="Arial"/>
                <w:i/>
                <w:iCs/>
                <w:sz w:val="22"/>
                <w:szCs w:val="22"/>
              </w:rPr>
              <w:t xml:space="preserve"> especies del derecho de negociación colectiva, pero no niega este derecho que se puede ejercer a través de otros medios independientes e imparciales. En consonancia con lo expuesto y como lo afirma el artículo 8 del Convenio 151, la solución de conflictos de los empleados públicos se puede desarrollar a través de procedimientos independientes e imparciales, y a título enunciativo se menciona a la mediación, la conciliación y el arbitraje. En este orden de ideas, el Gobierno Nacional podía establecer la concertación, como desarrollo reglamentario del artículo 416 del CST, al ser aquélla una medida de fomento de la de negociación colectiva de los empleados públicos, de conformidad con las particularidades del orden normativo nacional. Así, es claro que uno de los procedimientos a los que se refiere el artículo 8 del Convenio 151 puede ser la concertación, pues ésta también se encuentra prevista en el artículo 55 de la Constitución Política, como un medio de solución pacífica de conflictos colectivos de trabajo, de modo que es un instrumento idóneo de fomento de la negociación colectiva para los empleados públicos.</w:t>
            </w:r>
            <w:r>
              <w:rPr>
                <w:rFonts w:cs="Arial"/>
                <w:i/>
                <w:iCs/>
                <w:sz w:val="22"/>
                <w:szCs w:val="22"/>
              </w:rPr>
              <w:t>”</w:t>
            </w:r>
          </w:p>
          <w:p w14:paraId="6190F57D" w14:textId="77777777" w:rsidR="00BD256B" w:rsidRDefault="00BD256B" w:rsidP="00BD256B">
            <w:pPr>
              <w:jc w:val="both"/>
              <w:rPr>
                <w:rFonts w:cs="Arial"/>
                <w:i/>
                <w:iCs/>
                <w:sz w:val="22"/>
                <w:szCs w:val="22"/>
              </w:rPr>
            </w:pPr>
          </w:p>
          <w:p w14:paraId="1126A191" w14:textId="77777777" w:rsidR="00BD256B" w:rsidRPr="00203C3B" w:rsidRDefault="00BD256B" w:rsidP="00BD256B">
            <w:pPr>
              <w:jc w:val="both"/>
              <w:rPr>
                <w:rFonts w:cs="Arial"/>
                <w:i/>
                <w:iCs/>
                <w:sz w:val="22"/>
                <w:szCs w:val="22"/>
              </w:rPr>
            </w:pPr>
            <w:r>
              <w:rPr>
                <w:rFonts w:cs="Arial"/>
                <w:i/>
                <w:iCs/>
                <w:sz w:val="22"/>
                <w:szCs w:val="22"/>
              </w:rPr>
              <w:t>(…)</w:t>
            </w:r>
          </w:p>
          <w:p w14:paraId="1210F366" w14:textId="77777777" w:rsidR="00BD256B" w:rsidRPr="00203C3B" w:rsidRDefault="00BD256B" w:rsidP="00BD256B">
            <w:pPr>
              <w:jc w:val="both"/>
              <w:rPr>
                <w:rFonts w:cs="Arial"/>
                <w:i/>
                <w:iCs/>
                <w:sz w:val="22"/>
                <w:szCs w:val="22"/>
              </w:rPr>
            </w:pPr>
          </w:p>
          <w:p w14:paraId="2F563A9E" w14:textId="25B85A80" w:rsidR="00BD256B" w:rsidRPr="00203C3B" w:rsidRDefault="00BD256B" w:rsidP="00BD256B">
            <w:pPr>
              <w:jc w:val="both"/>
              <w:rPr>
                <w:rFonts w:cs="Arial"/>
                <w:i/>
                <w:iCs/>
                <w:sz w:val="22"/>
                <w:szCs w:val="22"/>
              </w:rPr>
            </w:pPr>
            <w:r>
              <w:rPr>
                <w:rFonts w:cs="Arial"/>
                <w:i/>
                <w:iCs/>
                <w:sz w:val="22"/>
                <w:szCs w:val="22"/>
              </w:rPr>
              <w:t>“</w:t>
            </w:r>
            <w:r w:rsidRPr="00203C3B">
              <w:rPr>
                <w:rFonts w:cs="Arial"/>
                <w:i/>
                <w:iCs/>
                <w:sz w:val="22"/>
                <w:szCs w:val="22"/>
              </w:rPr>
              <w:t xml:space="preserve">Sobre la presunta falta de competencia del Gobierno Nacional para reglamentar el derecho a la concertación, es claro que la sentencia C-1234 de 2005, consideró que mientras el Congreso de la República regule el procedimiento para hacer efectivo el derecho a la negociación colectiva, las organizaciones sindicales pueden a acudir a otros medios que garanticen la concertación de las condiciones de trabajo. Así, la ausencia de la regulación legal sobre el citado </w:t>
            </w:r>
            <w:r w:rsidR="00407A7D" w:rsidRPr="00203C3B">
              <w:rPr>
                <w:rFonts w:cs="Arial"/>
                <w:i/>
                <w:iCs/>
                <w:sz w:val="22"/>
                <w:szCs w:val="22"/>
              </w:rPr>
              <w:t>derecho</w:t>
            </w:r>
            <w:r w:rsidRPr="00203C3B">
              <w:rPr>
                <w:rFonts w:cs="Arial"/>
                <w:i/>
                <w:iCs/>
                <w:sz w:val="22"/>
                <w:szCs w:val="22"/>
              </w:rPr>
              <w:t xml:space="preserve"> no significa que los sindicatos de empleados públicos no puedan concertar sobre sus condiciones laborales, y este es el propósito señalado en la parte motiva del decreto demandado “establecer las instancias para la concertación de las condiciones laborales de los empleados públicos”. Por otra parte, se precisa que la Corte Constitucional ha considerado que el derecho a la negociación colectiva es </w:t>
            </w:r>
            <w:r w:rsidR="00407A7D" w:rsidRPr="00203C3B">
              <w:rPr>
                <w:rFonts w:cs="Arial"/>
                <w:i/>
                <w:iCs/>
                <w:sz w:val="22"/>
                <w:szCs w:val="22"/>
              </w:rPr>
              <w:t>fundamental,</w:t>
            </w:r>
            <w:r w:rsidRPr="00203C3B">
              <w:rPr>
                <w:rFonts w:cs="Arial"/>
                <w:i/>
                <w:iCs/>
                <w:sz w:val="22"/>
                <w:szCs w:val="22"/>
              </w:rPr>
              <w:t xml:space="preserve"> pero por conexidad “cuando su desconocimiento implica vulneración o amenaza de los derechos al trabajo o de asociación sindical”, por ende, no se puede considerar que dicho derecho esté comprendido en los asuntos descritos en el artículo 152 de la Constitución Política, que señala las materias que se regulan mediante leyes estatutarias.</w:t>
            </w:r>
            <w:r>
              <w:rPr>
                <w:rFonts w:cs="Arial"/>
                <w:i/>
                <w:iCs/>
                <w:sz w:val="22"/>
                <w:szCs w:val="22"/>
              </w:rPr>
              <w:t>”</w:t>
            </w:r>
          </w:p>
          <w:p w14:paraId="1A137978" w14:textId="77777777" w:rsidR="00BD256B" w:rsidRPr="00203C3B" w:rsidRDefault="00BD256B" w:rsidP="00BD256B">
            <w:pPr>
              <w:jc w:val="both"/>
              <w:rPr>
                <w:rFonts w:cs="Arial"/>
                <w:i/>
                <w:iCs/>
                <w:sz w:val="22"/>
                <w:szCs w:val="22"/>
              </w:rPr>
            </w:pPr>
          </w:p>
          <w:p w14:paraId="7827C1AA" w14:textId="77777777" w:rsidR="00BD256B" w:rsidRPr="00203C3B" w:rsidRDefault="00BD256B" w:rsidP="00BD256B">
            <w:pPr>
              <w:jc w:val="both"/>
              <w:rPr>
                <w:rFonts w:cs="Arial"/>
                <w:b/>
                <w:bCs/>
                <w:sz w:val="22"/>
                <w:szCs w:val="22"/>
              </w:rPr>
            </w:pPr>
          </w:p>
          <w:p w14:paraId="283D8521" w14:textId="77777777" w:rsidR="00BD256B" w:rsidRPr="00203C3B" w:rsidRDefault="00BD256B" w:rsidP="00BD256B">
            <w:pPr>
              <w:pStyle w:val="Prrafodelista"/>
              <w:numPr>
                <w:ilvl w:val="0"/>
                <w:numId w:val="50"/>
              </w:numPr>
              <w:jc w:val="both"/>
              <w:rPr>
                <w:rFonts w:ascii="Arial" w:hAnsi="Arial" w:cs="Arial"/>
                <w:b/>
                <w:bCs/>
                <w:sz w:val="22"/>
                <w:szCs w:val="22"/>
              </w:rPr>
            </w:pPr>
            <w:r w:rsidRPr="00203C3B">
              <w:rPr>
                <w:rFonts w:ascii="Arial" w:hAnsi="Arial" w:cs="Arial"/>
                <w:b/>
                <w:bCs/>
                <w:sz w:val="22"/>
                <w:szCs w:val="22"/>
              </w:rPr>
              <w:t xml:space="preserve">Sentencia Radicación: 11001-03-25-000-2014-00981-00 (3011-2014) del Consejo de Estado (SECCIÓN SEGUNDA, SUBSECCIÓN A) del 24 de octubre de 2019. </w:t>
            </w:r>
          </w:p>
          <w:p w14:paraId="5B290BE4" w14:textId="77777777" w:rsidR="00BD256B" w:rsidRPr="00203C3B" w:rsidRDefault="00BD256B" w:rsidP="00BD256B">
            <w:pPr>
              <w:jc w:val="both"/>
              <w:rPr>
                <w:rFonts w:cs="Arial"/>
                <w:b/>
                <w:bCs/>
                <w:sz w:val="22"/>
                <w:szCs w:val="22"/>
              </w:rPr>
            </w:pPr>
          </w:p>
          <w:p w14:paraId="50BA1FEA" w14:textId="77777777" w:rsidR="00BD256B" w:rsidRPr="00203C3B" w:rsidRDefault="00BD256B" w:rsidP="00BD256B">
            <w:pPr>
              <w:jc w:val="both"/>
              <w:rPr>
                <w:rFonts w:eastAsiaTheme="minorHAnsi" w:cs="Arial"/>
                <w:i/>
                <w:iCs/>
                <w:kern w:val="2"/>
                <w:sz w:val="22"/>
                <w:szCs w:val="22"/>
                <w:lang w:val="es-CO" w:eastAsia="en-US"/>
                <w14:ligatures w14:val="standardContextual"/>
              </w:rPr>
            </w:pPr>
            <w:r w:rsidRPr="00203C3B">
              <w:rPr>
                <w:rFonts w:cs="Arial"/>
                <w:b/>
                <w:bCs/>
                <w:sz w:val="22"/>
                <w:szCs w:val="22"/>
              </w:rPr>
              <w:t>Extractos pertinentes</w:t>
            </w:r>
            <w:r w:rsidRPr="00203C3B">
              <w:rPr>
                <w:rFonts w:cs="Arial"/>
                <w:b/>
                <w:bCs/>
                <w:i/>
                <w:iCs/>
                <w:sz w:val="22"/>
                <w:szCs w:val="22"/>
              </w:rPr>
              <w:t>: “</w:t>
            </w:r>
            <w:r w:rsidRPr="00203C3B">
              <w:rPr>
                <w:rFonts w:eastAsiaTheme="minorHAnsi" w:cs="Arial"/>
                <w:i/>
                <w:iCs/>
                <w:kern w:val="2"/>
                <w:sz w:val="22"/>
                <w:szCs w:val="22"/>
                <w:lang w:val="es-CO" w:eastAsia="en-US"/>
                <w14:ligatures w14:val="standardContextual"/>
              </w:rPr>
              <w:t>Sobre este punto, es importante precisar que el artículo 14 del Decreto 160 de 2014, compilado en el artículo 2.2.2.4.13 del Decreto 1072 de 2015, señala que con base en los acuerdos colectivos a los que se lleguen, la entidad deberá expedir ·los actos administrativos a que haya lugar, con sujeción a las competencias legales y constitucionales, los cuales pueden ser tanto de contenido general como particular y concreto.</w:t>
            </w:r>
          </w:p>
          <w:p w14:paraId="0F67380A" w14:textId="77777777" w:rsidR="00BD256B" w:rsidRPr="00203C3B" w:rsidRDefault="00BD256B" w:rsidP="00BD256B">
            <w:pPr>
              <w:spacing w:after="160" w:line="259" w:lineRule="auto"/>
              <w:jc w:val="both"/>
              <w:rPr>
                <w:rFonts w:eastAsiaTheme="minorHAnsi" w:cs="Arial"/>
                <w:i/>
                <w:iCs/>
                <w:kern w:val="2"/>
                <w:sz w:val="22"/>
                <w:szCs w:val="22"/>
                <w:lang w:val="es-CO" w:eastAsia="en-US"/>
                <w14:ligatures w14:val="standardContextual"/>
              </w:rPr>
            </w:pPr>
          </w:p>
          <w:p w14:paraId="05DD9DEB" w14:textId="77777777" w:rsidR="00BD256B" w:rsidRPr="00203C3B" w:rsidRDefault="00BD256B" w:rsidP="00BD256B">
            <w:pPr>
              <w:spacing w:after="160" w:line="259" w:lineRule="auto"/>
              <w:jc w:val="both"/>
              <w:rPr>
                <w:rFonts w:eastAsiaTheme="minorHAnsi" w:cs="Arial"/>
                <w:i/>
                <w:iCs/>
                <w:kern w:val="2"/>
                <w:sz w:val="22"/>
                <w:szCs w:val="22"/>
                <w:lang w:val="es-CO" w:eastAsia="en-US"/>
                <w14:ligatures w14:val="standardContextual"/>
              </w:rPr>
            </w:pPr>
            <w:r w:rsidRPr="00203C3B">
              <w:rPr>
                <w:rFonts w:eastAsiaTheme="minorHAnsi" w:cs="Arial"/>
                <w:i/>
                <w:iCs/>
                <w:kern w:val="2"/>
                <w:sz w:val="22"/>
                <w:szCs w:val="22"/>
                <w:lang w:val="es-CO" w:eastAsia="en-US"/>
                <w14:ligatures w14:val="standardContextual"/>
              </w:rPr>
              <w:t xml:space="preserve">De esta manera, en asuntos como el presente, en donde los emitidos corresponden a actos de contenido general que dan lineamientos para implementar los acuerdos a los que la administración haya llegado con los trabajadores, ellos se enmarcan dentro de lo que se conoce como «soft law» o «derecho blando», concepto respecto del cual la mayoría de la doctrina coincide al señalar que se trata de actos de la administración que reflejan el poder jerárquico que tiene aquella frente a sus empleados o incluso frente a otras entidades que,. de una u otra forma, se encuentran bajo su mando, lo que le permite ejercer facultades de instrucción a través de la expedición de circulares, directivas, orientaciones o cualquier otro tipo de documento en el que se </w:t>
            </w:r>
            <w:r w:rsidRPr="00203C3B">
              <w:rPr>
                <w:rFonts w:eastAsiaTheme="minorHAnsi" w:cs="Arial"/>
                <w:i/>
                <w:iCs/>
                <w:kern w:val="2"/>
                <w:sz w:val="22"/>
                <w:szCs w:val="22"/>
                <w:lang w:val="es-CO" w:eastAsia="en-US"/>
                <w14:ligatures w14:val="standardContextual"/>
              </w:rPr>
              <w:lastRenderedPageBreak/>
              <w:t>impartan indicaciones sobre la forma en que deben interpretarse y aplicarse determinadas normas jurídicas en esa órbita interna.</w:t>
            </w:r>
          </w:p>
          <w:p w14:paraId="22000263" w14:textId="77777777" w:rsidR="00BD256B" w:rsidRDefault="00BD256B" w:rsidP="00BD256B">
            <w:pPr>
              <w:spacing w:after="160" w:line="259" w:lineRule="auto"/>
              <w:jc w:val="both"/>
              <w:rPr>
                <w:rFonts w:eastAsiaTheme="minorHAnsi" w:cs="Arial"/>
                <w:i/>
                <w:iCs/>
                <w:kern w:val="2"/>
                <w:sz w:val="22"/>
                <w:szCs w:val="22"/>
                <w:lang w:val="es-CO" w:eastAsia="en-US"/>
                <w14:ligatures w14:val="standardContextual"/>
              </w:rPr>
            </w:pPr>
            <w:r w:rsidRPr="00203C3B">
              <w:rPr>
                <w:rFonts w:eastAsiaTheme="minorHAnsi" w:cs="Arial"/>
                <w:i/>
                <w:iCs/>
                <w:kern w:val="2"/>
                <w:sz w:val="22"/>
                <w:szCs w:val="22"/>
                <w:lang w:val="es-CO" w:eastAsia="en-US"/>
                <w14:ligatures w14:val="standardContextual"/>
              </w:rPr>
              <w:t>De acuerdo con ello, este tipo de disposiciones, que aunque están llamadas a generar efectos en ad intra son de carácter general y abstracto, unifican un criterio respecto del alcance que ha de otorgársele al derecho positivo al interior de la entidad o en el conjunto de entidades que integran la estructura subordinada en el que la autoridad superior ejerce el poder de instrucción, ello con el fin de lograr que las decisiones que se adopten sobre la materia en cuestión resulten armónicas y coherentes entre sí.</w:t>
            </w:r>
            <w:r>
              <w:rPr>
                <w:rFonts w:eastAsiaTheme="minorHAnsi" w:cs="Arial"/>
                <w:i/>
                <w:iCs/>
                <w:kern w:val="2"/>
                <w:sz w:val="22"/>
                <w:szCs w:val="22"/>
                <w:lang w:val="es-CO" w:eastAsia="en-US"/>
                <w14:ligatures w14:val="standardContextual"/>
              </w:rPr>
              <w:t xml:space="preserve"> </w:t>
            </w:r>
          </w:p>
          <w:p w14:paraId="75684469" w14:textId="77777777" w:rsidR="00BD256B" w:rsidRPr="00203C3B" w:rsidRDefault="00BD256B" w:rsidP="00BD256B">
            <w:pPr>
              <w:spacing w:after="160" w:line="259" w:lineRule="auto"/>
              <w:jc w:val="both"/>
              <w:rPr>
                <w:rFonts w:eastAsiaTheme="minorHAnsi" w:cs="Arial"/>
                <w:i/>
                <w:iCs/>
                <w:kern w:val="2"/>
                <w:sz w:val="22"/>
                <w:szCs w:val="22"/>
                <w:lang w:val="es-CO" w:eastAsia="en-US"/>
                <w14:ligatures w14:val="standardContextual"/>
              </w:rPr>
            </w:pPr>
            <w:r>
              <w:rPr>
                <w:rFonts w:eastAsiaTheme="minorHAnsi" w:cs="Arial"/>
                <w:i/>
                <w:iCs/>
                <w:kern w:val="2"/>
                <w:sz w:val="22"/>
                <w:szCs w:val="22"/>
                <w:lang w:val="es-CO" w:eastAsia="en-US"/>
                <w14:ligatures w14:val="standardContextual"/>
              </w:rPr>
              <w:t>(…)</w:t>
            </w:r>
          </w:p>
          <w:p w14:paraId="3C15760B" w14:textId="77777777" w:rsidR="00BD256B" w:rsidRPr="00203C3B" w:rsidRDefault="00BD256B" w:rsidP="00BD256B">
            <w:pPr>
              <w:spacing w:after="160" w:line="259" w:lineRule="auto"/>
              <w:jc w:val="both"/>
              <w:rPr>
                <w:rFonts w:eastAsiaTheme="minorHAnsi" w:cs="Arial"/>
                <w:i/>
                <w:iCs/>
                <w:kern w:val="2"/>
                <w:sz w:val="22"/>
                <w:szCs w:val="22"/>
                <w:lang w:val="es-CO" w:eastAsia="en-US"/>
                <w14:ligatures w14:val="standardContextual"/>
              </w:rPr>
            </w:pPr>
            <w:r>
              <w:rPr>
                <w:rFonts w:eastAsiaTheme="minorHAnsi" w:cs="Arial"/>
                <w:i/>
                <w:iCs/>
                <w:kern w:val="2"/>
                <w:sz w:val="22"/>
                <w:szCs w:val="22"/>
                <w:lang w:val="es-CO" w:eastAsia="en-US"/>
                <w14:ligatures w14:val="standardContextual"/>
              </w:rPr>
              <w:t>“</w:t>
            </w:r>
            <w:r w:rsidRPr="00203C3B">
              <w:rPr>
                <w:rFonts w:eastAsiaTheme="minorHAnsi" w:cs="Arial"/>
                <w:i/>
                <w:iCs/>
                <w:kern w:val="2"/>
                <w:sz w:val="22"/>
                <w:szCs w:val="22"/>
                <w:lang w:val="es-CO" w:eastAsia="en-US"/>
                <w14:ligatures w14:val="standardContextual"/>
              </w:rPr>
              <w:t>A lo anterior se agrega el hecho de que los acuerdos a los que lleguen las entidades estatales en calidad de patrono con los sindicatos de servidores públicos no serían susceptibles de con</w:t>
            </w:r>
            <w:r>
              <w:rPr>
                <w:rFonts w:eastAsiaTheme="minorHAnsi" w:cs="Arial"/>
                <w:i/>
                <w:iCs/>
                <w:kern w:val="2"/>
                <w:sz w:val="22"/>
                <w:szCs w:val="22"/>
                <w:lang w:val="es-CO" w:eastAsia="en-US"/>
                <w14:ligatures w14:val="standardContextual"/>
              </w:rPr>
              <w:t>1</w:t>
            </w:r>
            <w:r w:rsidRPr="00203C3B">
              <w:rPr>
                <w:rFonts w:eastAsiaTheme="minorHAnsi" w:cs="Arial"/>
                <w:i/>
                <w:iCs/>
                <w:kern w:val="2"/>
                <w:sz w:val="22"/>
                <w:szCs w:val="22"/>
                <w:lang w:val="es-CO" w:eastAsia="en-US"/>
                <w14:ligatures w14:val="standardContextual"/>
              </w:rPr>
              <w:t>trol a través de la jurisdicción de lo contencioso administrativo, a través del medio de control de nulidad o de nulidad y restablecimiento del derecho, toda vez que en tal caso no se trata de la nulidad de actos administrativos, si se tiene en cuenta que este concepto reviste la carácter de unilateralidad, lo cual, a todas luces, no sucede cuando se trata de un «acuerdo» donde concurren varias voluntades. Sin embargo, es importante recordar que la actividad que las entidades despliegan durante el proceso de negociación con los sindicatos de servidores públicos tiene el carácter de administrativa, en su ámbito laboral y, por tanto, el impartir los lineamientos de cómo ello se va a llevar a cabo también lo es.</w:t>
            </w:r>
            <w:r>
              <w:rPr>
                <w:rFonts w:eastAsiaTheme="minorHAnsi" w:cs="Arial"/>
                <w:i/>
                <w:iCs/>
                <w:kern w:val="2"/>
                <w:sz w:val="22"/>
                <w:szCs w:val="22"/>
                <w:lang w:val="es-CO" w:eastAsia="en-US"/>
                <w14:ligatures w14:val="standardContextual"/>
              </w:rPr>
              <w:t>”</w:t>
            </w:r>
          </w:p>
          <w:p w14:paraId="1E5E4E41" w14:textId="77777777" w:rsidR="00BD256B" w:rsidRPr="00203C3B" w:rsidRDefault="00BD256B" w:rsidP="00BD256B">
            <w:pPr>
              <w:jc w:val="both"/>
              <w:rPr>
                <w:rFonts w:cs="Arial"/>
                <w:b/>
                <w:bCs/>
                <w:sz w:val="22"/>
                <w:szCs w:val="22"/>
              </w:rPr>
            </w:pPr>
          </w:p>
          <w:p w14:paraId="22ECC751" w14:textId="77777777" w:rsidR="00BD256B" w:rsidRDefault="00BD256B" w:rsidP="00BD256B">
            <w:pPr>
              <w:pStyle w:val="Prrafodelista"/>
              <w:numPr>
                <w:ilvl w:val="0"/>
                <w:numId w:val="50"/>
              </w:numPr>
              <w:jc w:val="both"/>
              <w:rPr>
                <w:rFonts w:ascii="Arial" w:hAnsi="Arial" w:cs="Arial"/>
                <w:b/>
                <w:bCs/>
                <w:sz w:val="22"/>
                <w:szCs w:val="22"/>
              </w:rPr>
            </w:pPr>
            <w:r w:rsidRPr="00203C3B">
              <w:rPr>
                <w:rFonts w:ascii="Arial" w:hAnsi="Arial" w:cs="Arial"/>
                <w:b/>
                <w:bCs/>
                <w:sz w:val="22"/>
                <w:szCs w:val="22"/>
              </w:rPr>
              <w:t>T-376 de 2020 de la Corte Constitucional</w:t>
            </w:r>
          </w:p>
          <w:p w14:paraId="70A72EA3" w14:textId="77777777" w:rsidR="00BD256B" w:rsidRDefault="00BD256B" w:rsidP="00BD256B">
            <w:pPr>
              <w:jc w:val="both"/>
              <w:rPr>
                <w:rFonts w:cs="Arial"/>
                <w:b/>
                <w:bCs/>
                <w:sz w:val="22"/>
                <w:szCs w:val="22"/>
              </w:rPr>
            </w:pPr>
          </w:p>
          <w:p w14:paraId="58B5169A" w14:textId="77777777" w:rsidR="00BD256B" w:rsidRPr="00203C3B" w:rsidRDefault="00BD256B" w:rsidP="00BD256B">
            <w:pPr>
              <w:jc w:val="both"/>
              <w:rPr>
                <w:rFonts w:cs="Arial"/>
                <w:i/>
                <w:iCs/>
                <w:sz w:val="22"/>
                <w:szCs w:val="22"/>
                <w:lang w:val="es-CO" w:eastAsia="es-CO"/>
              </w:rPr>
            </w:pPr>
            <w:r>
              <w:rPr>
                <w:rFonts w:cs="Arial"/>
                <w:b/>
                <w:bCs/>
                <w:sz w:val="22"/>
                <w:szCs w:val="22"/>
              </w:rPr>
              <w:t xml:space="preserve">Extractos pertinentes:  </w:t>
            </w:r>
            <w:r w:rsidRPr="00203C3B">
              <w:rPr>
                <w:rFonts w:cs="Arial"/>
                <w:b/>
                <w:bCs/>
                <w:i/>
                <w:iCs/>
                <w:sz w:val="22"/>
                <w:szCs w:val="22"/>
              </w:rPr>
              <w:t>“</w:t>
            </w:r>
            <w:r w:rsidRPr="00203C3B">
              <w:rPr>
                <w:rFonts w:cs="Arial"/>
                <w:i/>
                <w:iCs/>
                <w:sz w:val="22"/>
                <w:szCs w:val="22"/>
                <w:lang w:val="es-CO" w:eastAsia="es-CO"/>
              </w:rPr>
              <w:t>Los sindicatos de trabajadores oficiales se rigen por las normas del derecho laboral colectivo que aplican para los empleados particulares, razón por la cual pueden negociar y suscribir convenciones colectivas de trabajo; por otra parte, los sindicatos de empleados públicos están sujetos a normas que restringen su alcance, siendo lo más relevante la prohibición de presentar pliegos de peticiones o celebrar convenciones colectivas y las funciones específicas que prevé el Estatuto Laboral, en su artículo 414”</w:t>
            </w:r>
          </w:p>
          <w:p w14:paraId="363107A9" w14:textId="77777777" w:rsidR="00BD256B" w:rsidRDefault="00BD256B" w:rsidP="00BD256B">
            <w:pPr>
              <w:jc w:val="both"/>
              <w:rPr>
                <w:rFonts w:cs="Arial"/>
                <w:i/>
                <w:iCs/>
                <w:sz w:val="22"/>
                <w:szCs w:val="22"/>
                <w:lang w:val="es-CO" w:eastAsia="es-CO"/>
              </w:rPr>
            </w:pPr>
          </w:p>
          <w:p w14:paraId="11FF9F96" w14:textId="77777777" w:rsidR="00BD256B" w:rsidRPr="00203C3B" w:rsidRDefault="00BD256B" w:rsidP="00BD256B">
            <w:pPr>
              <w:jc w:val="both"/>
              <w:rPr>
                <w:rFonts w:cs="Arial"/>
                <w:i/>
                <w:iCs/>
                <w:sz w:val="22"/>
                <w:szCs w:val="22"/>
                <w:lang w:val="es-CO" w:eastAsia="es-CO"/>
              </w:rPr>
            </w:pPr>
            <w:r>
              <w:rPr>
                <w:rFonts w:cs="Arial"/>
                <w:i/>
                <w:iCs/>
                <w:sz w:val="22"/>
                <w:szCs w:val="22"/>
                <w:lang w:val="es-CO" w:eastAsia="es-CO"/>
              </w:rPr>
              <w:t>(…)</w:t>
            </w:r>
          </w:p>
          <w:p w14:paraId="1699F205" w14:textId="77777777" w:rsidR="00BD256B" w:rsidRDefault="00BD256B" w:rsidP="00BD256B">
            <w:pPr>
              <w:jc w:val="both"/>
              <w:rPr>
                <w:rFonts w:cs="Arial"/>
                <w:i/>
                <w:iCs/>
                <w:sz w:val="22"/>
                <w:szCs w:val="22"/>
                <w:lang w:val="es-CO" w:eastAsia="es-CO"/>
              </w:rPr>
            </w:pPr>
          </w:p>
          <w:p w14:paraId="2AE669F5" w14:textId="77777777" w:rsidR="00BD256B" w:rsidRPr="00203C3B" w:rsidRDefault="00BD256B" w:rsidP="00BD256B">
            <w:pPr>
              <w:jc w:val="both"/>
              <w:rPr>
                <w:rFonts w:cs="Arial"/>
                <w:i/>
                <w:iCs/>
                <w:sz w:val="22"/>
                <w:szCs w:val="22"/>
                <w:lang w:val="es-CO" w:eastAsia="es-CO"/>
              </w:rPr>
            </w:pPr>
            <w:r w:rsidRPr="00203C3B">
              <w:rPr>
                <w:rFonts w:cs="Arial"/>
                <w:i/>
                <w:iCs/>
                <w:sz w:val="22"/>
                <w:szCs w:val="22"/>
                <w:lang w:val="es-CO" w:eastAsia="es-CO"/>
              </w:rPr>
              <w:t>Las limitaciones para los sindicatos de empleados públicos son razonables “si se considera que allí están consagrados los objetivos básicos perseguidos por toda asociación sindical, pero teniendo en cuenta que tales servidores tienen a su cargo el ejercicio de la función pública en sus distintas modalidades y la prestación de los servicios públicos. (…). Se circunscribe a definir -dentro del campo de aplicación que la Carta prevé e inclusive con idéntica limitación a la contemplada en ella- cuál es el ámbito personal del derecho de asociación en sindicatos de trabajadores, es decir, mediante el precepto se señala quiénes pueden constituirlos. Sí, (…) el Constituyente no introdujo entre los servidores del Estado distinción alguna en punto de la asociación sindical, aparte de la relacionada con la Fuerza Pública, es necesario concluir que el legislador quedó facultado a la luz de la normatividad superior -lo estaba inclusive antes de la Carta del 91- para disponer en forma expresa que el indicado derecho cobija a todos los trabajadores del servicio oficial con la excepción dicha”</w:t>
            </w:r>
          </w:p>
          <w:p w14:paraId="647BA20F" w14:textId="77777777" w:rsidR="00BD256B" w:rsidRPr="00203C3B" w:rsidRDefault="00BD256B" w:rsidP="00BD256B">
            <w:pPr>
              <w:jc w:val="both"/>
              <w:rPr>
                <w:rFonts w:cs="Arial"/>
                <w:i/>
                <w:iCs/>
                <w:sz w:val="22"/>
                <w:szCs w:val="22"/>
                <w:lang w:val="es-CO" w:eastAsia="es-CO"/>
              </w:rPr>
            </w:pPr>
          </w:p>
          <w:p w14:paraId="76051348" w14:textId="77777777" w:rsidR="00BD256B" w:rsidRDefault="00BD256B" w:rsidP="00BD256B">
            <w:pPr>
              <w:jc w:val="both"/>
              <w:rPr>
                <w:rFonts w:cs="Arial"/>
                <w:i/>
                <w:iCs/>
                <w:sz w:val="22"/>
                <w:szCs w:val="22"/>
                <w:lang w:val="es-CO" w:eastAsia="es-CO"/>
              </w:rPr>
            </w:pPr>
            <w:r>
              <w:rPr>
                <w:rFonts w:cs="Arial"/>
                <w:i/>
                <w:iCs/>
                <w:sz w:val="22"/>
                <w:szCs w:val="22"/>
                <w:lang w:val="es-CO" w:eastAsia="es-CO"/>
              </w:rPr>
              <w:t>(…)</w:t>
            </w:r>
          </w:p>
          <w:p w14:paraId="3BC19855" w14:textId="77777777" w:rsidR="00BD256B" w:rsidRPr="00203C3B" w:rsidRDefault="00BD256B" w:rsidP="00BD256B">
            <w:pPr>
              <w:jc w:val="both"/>
              <w:rPr>
                <w:rFonts w:cs="Arial"/>
                <w:i/>
                <w:iCs/>
                <w:sz w:val="22"/>
                <w:szCs w:val="22"/>
                <w:lang w:val="es-CO" w:eastAsia="es-CO"/>
              </w:rPr>
            </w:pPr>
            <w:r w:rsidRPr="00203C3B">
              <w:rPr>
                <w:rFonts w:cs="Arial"/>
                <w:i/>
                <w:iCs/>
                <w:sz w:val="22"/>
                <w:szCs w:val="22"/>
                <w:lang w:val="es-CO" w:eastAsia="es-CO"/>
              </w:rPr>
              <w:t xml:space="preserve">Con el fin de armonizar estos dos conceptos: derechos de sindicalización y fijación unilateral de salarios y de condiciones de trabajo, la Corte ha precisado que la Constitución reconoce a todas las personas el derecho a participar en las decisiones que puedan afectarlas, que, en materia de conflictos de trabajo, la Carta impone </w:t>
            </w:r>
            <w:r w:rsidRPr="00203C3B">
              <w:rPr>
                <w:rFonts w:cs="Arial"/>
                <w:i/>
                <w:iCs/>
                <w:sz w:val="22"/>
                <w:szCs w:val="22"/>
                <w:lang w:val="es-CO" w:eastAsia="es-CO"/>
              </w:rPr>
              <w:lastRenderedPageBreak/>
              <w:t>como deber del Estado promover la concertación y otros medios de similar naturaleza para la solución pacífica de las controversias (art. 55). Por consiguiente, los empleados públicos tienen derecho a participar en la definición de sus condiciones de trabajo, porque se trata de asuntos que indudablemente los afectan, y, por ende, “nada en la Carta se opone a que los empleados públicos formulen peticiones a las autoridades sobre sus condiciones de empleo y las discutan con ellas con el fin de lograr un acuerdo en la materia, lo cual implica que el derecho de negociación colectiva no tiene por qué considerarse anulado”</w:t>
            </w:r>
          </w:p>
          <w:p w14:paraId="0CFDD35E" w14:textId="77777777" w:rsidR="00BD256B" w:rsidRDefault="00BD256B" w:rsidP="00BD256B">
            <w:pPr>
              <w:ind w:left="494" w:hanging="283"/>
              <w:jc w:val="both"/>
              <w:rPr>
                <w:rFonts w:cs="Arial"/>
                <w:sz w:val="22"/>
                <w:szCs w:val="22"/>
                <w:lang w:val="es-CO" w:eastAsia="es-CO"/>
              </w:rPr>
            </w:pPr>
          </w:p>
          <w:p w14:paraId="437DD52F" w14:textId="77777777" w:rsidR="00D44D9B" w:rsidRPr="00D44D9B" w:rsidRDefault="00D44D9B" w:rsidP="001349E1">
            <w:pPr>
              <w:jc w:val="both"/>
              <w:rPr>
                <w:rFonts w:cs="Arial"/>
                <w:sz w:val="22"/>
                <w:szCs w:val="22"/>
                <w:lang w:val="es-CO" w:eastAsia="es-CO"/>
              </w:rPr>
            </w:pPr>
          </w:p>
          <w:p w14:paraId="48B43B6F" w14:textId="77777777" w:rsidR="00D05B67" w:rsidRDefault="00D05B67" w:rsidP="0075705D">
            <w:pPr>
              <w:ind w:left="494" w:hanging="283"/>
              <w:jc w:val="both"/>
              <w:rPr>
                <w:rFonts w:cs="Arial"/>
                <w:sz w:val="22"/>
                <w:szCs w:val="22"/>
                <w:lang w:val="es-CO" w:eastAsia="es-CO"/>
              </w:rPr>
            </w:pPr>
          </w:p>
          <w:p w14:paraId="4558E086" w14:textId="77777777" w:rsidR="00D05B67" w:rsidRPr="00C91E92" w:rsidRDefault="00D05B67" w:rsidP="0075705D">
            <w:pPr>
              <w:ind w:left="494" w:hanging="283"/>
              <w:jc w:val="both"/>
              <w:rPr>
                <w:rFonts w:cs="Arial"/>
                <w:b/>
                <w:bCs/>
                <w:sz w:val="22"/>
                <w:szCs w:val="22"/>
                <w:lang w:val="es-CO" w:eastAsia="es-CO"/>
              </w:rPr>
            </w:pPr>
            <w:r w:rsidRPr="00C91E92">
              <w:rPr>
                <w:rFonts w:cs="Arial"/>
                <w:b/>
                <w:bCs/>
                <w:sz w:val="22"/>
                <w:szCs w:val="22"/>
                <w:lang w:val="es-CO" w:eastAsia="es-CO"/>
              </w:rPr>
              <w:t xml:space="preserve">3.5 Circunstancias jurídicas adicionales </w:t>
            </w:r>
          </w:p>
          <w:p w14:paraId="47C7F29C" w14:textId="77777777" w:rsidR="00C91E92" w:rsidRPr="009C312C" w:rsidRDefault="00C91E92" w:rsidP="0075705D">
            <w:pPr>
              <w:ind w:left="494" w:hanging="283"/>
              <w:jc w:val="both"/>
              <w:rPr>
                <w:rFonts w:cs="Arial"/>
                <w:sz w:val="22"/>
                <w:szCs w:val="22"/>
                <w:lang w:val="es-CO" w:eastAsia="es-CO"/>
              </w:rPr>
            </w:pPr>
          </w:p>
          <w:p w14:paraId="61A8EEF2" w14:textId="28E3B22D" w:rsidR="00C91E92" w:rsidRPr="009C312C" w:rsidRDefault="00C91E92" w:rsidP="00C91E92">
            <w:pPr>
              <w:jc w:val="both"/>
              <w:rPr>
                <w:rFonts w:cs="Arial"/>
                <w:sz w:val="22"/>
                <w:szCs w:val="22"/>
                <w:lang w:val="es-CO" w:eastAsia="es-CO"/>
              </w:rPr>
            </w:pPr>
            <w:r w:rsidRPr="009C312C">
              <w:rPr>
                <w:rFonts w:cs="Arial"/>
                <w:sz w:val="24"/>
                <w:szCs w:val="24"/>
                <w:lang w:val="es-CO" w:eastAsia="es-CO"/>
              </w:rPr>
              <w:t>No se configuran circunstancias jurídicas adicionales.</w:t>
            </w:r>
          </w:p>
          <w:p w14:paraId="7DAA4E4A" w14:textId="77777777" w:rsidR="00D05B67" w:rsidRDefault="00D05B67"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p w14:paraId="41959B76" w14:textId="77777777" w:rsidR="00795C6B" w:rsidRPr="009F7CED"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DF60FD" w:rsidRPr="009F7CED" w14:paraId="68D8EB1D"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FD99F" w14:textId="77777777" w:rsidR="00843EFF" w:rsidRPr="009F7CED" w:rsidRDefault="00843EFF" w:rsidP="00A161B9">
            <w:pPr>
              <w:rPr>
                <w:rFonts w:cs="Arial"/>
                <w:b/>
                <w:color w:val="000000"/>
                <w:sz w:val="22"/>
                <w:szCs w:val="22"/>
              </w:rPr>
            </w:pPr>
          </w:p>
          <w:p w14:paraId="2DBC5A24" w14:textId="77777777" w:rsidR="00DF60FD" w:rsidRPr="009F7CED" w:rsidRDefault="00DF60FD" w:rsidP="00D05B67">
            <w:pPr>
              <w:numPr>
                <w:ilvl w:val="0"/>
                <w:numId w:val="45"/>
              </w:numPr>
              <w:rPr>
                <w:rFonts w:cs="Arial"/>
                <w:b/>
                <w:color w:val="000000"/>
                <w:sz w:val="22"/>
                <w:szCs w:val="22"/>
              </w:rPr>
            </w:pPr>
            <w:r w:rsidRPr="009F7CED">
              <w:rPr>
                <w:rFonts w:cs="Arial"/>
                <w:b/>
                <w:color w:val="000000"/>
                <w:sz w:val="22"/>
                <w:szCs w:val="22"/>
              </w:rPr>
              <w:t xml:space="preserve">IMPACTO ECONÓMICO </w:t>
            </w:r>
            <w:r w:rsidR="00D05B67" w:rsidRPr="00D05B67">
              <w:rPr>
                <w:rFonts w:cs="Arial"/>
                <w:color w:val="000000"/>
                <w:sz w:val="22"/>
                <w:szCs w:val="22"/>
              </w:rPr>
              <w:t>(Si se requiere)</w:t>
            </w:r>
          </w:p>
          <w:p w14:paraId="2DDAE574" w14:textId="77777777" w:rsidR="00795C6B" w:rsidRDefault="00795C6B" w:rsidP="00795C6B">
            <w:pPr>
              <w:pStyle w:val="Listavistosa-nfasis11"/>
              <w:jc w:val="both"/>
              <w:rPr>
                <w:rFonts w:ascii="Arial" w:hAnsi="Arial" w:cs="Arial"/>
                <w:i/>
                <w:color w:val="808080"/>
                <w:sz w:val="18"/>
              </w:rPr>
            </w:pPr>
            <w:r w:rsidRPr="00795C6B">
              <w:rPr>
                <w:rFonts w:ascii="Arial" w:hAnsi="Arial" w:cs="Arial"/>
                <w:i/>
                <w:color w:val="808080"/>
                <w:sz w:val="18"/>
              </w:rPr>
              <w:t>(Por favor señale el costo o ahorro de la implementación del acto administrativo</w:t>
            </w:r>
            <w:r>
              <w:rPr>
                <w:rFonts w:ascii="Arial" w:hAnsi="Arial" w:cs="Arial"/>
                <w:i/>
                <w:color w:val="808080"/>
                <w:sz w:val="18"/>
              </w:rPr>
              <w:t>)</w:t>
            </w:r>
          </w:p>
          <w:p w14:paraId="2F6F1DFC" w14:textId="77777777" w:rsidR="007F2250" w:rsidRDefault="007F2250" w:rsidP="00795C6B">
            <w:pPr>
              <w:pStyle w:val="Listavistosa-nfasis11"/>
              <w:jc w:val="both"/>
              <w:rPr>
                <w:rFonts w:ascii="Arial" w:hAnsi="Arial" w:cs="Arial"/>
                <w:i/>
                <w:color w:val="808080"/>
                <w:sz w:val="18"/>
              </w:rPr>
            </w:pPr>
          </w:p>
          <w:p w14:paraId="0D4BCD34" w14:textId="2E735819" w:rsidR="001A0824" w:rsidRPr="001A0824" w:rsidRDefault="001A0824" w:rsidP="001A0824">
            <w:pPr>
              <w:pStyle w:val="Listavistosa-nfasis11"/>
              <w:ind w:left="0"/>
              <w:jc w:val="both"/>
              <w:rPr>
                <w:rFonts w:ascii="Arial" w:hAnsi="Arial" w:cs="Arial"/>
                <w:iCs/>
                <w:color w:val="808080"/>
              </w:rPr>
            </w:pPr>
            <w:r w:rsidRPr="001A0824">
              <w:rPr>
                <w:rFonts w:ascii="Arial" w:hAnsi="Arial" w:cs="Arial"/>
              </w:rPr>
              <w:t xml:space="preserve">El presente acto administrativo </w:t>
            </w:r>
            <w:r w:rsidR="00745447">
              <w:rPr>
                <w:rFonts w:ascii="Arial" w:hAnsi="Arial" w:cs="Arial"/>
              </w:rPr>
              <w:t xml:space="preserve">no </w:t>
            </w:r>
            <w:r w:rsidRPr="001A0824">
              <w:rPr>
                <w:rFonts w:ascii="Arial" w:hAnsi="Arial" w:cs="Arial"/>
              </w:rPr>
              <w:t>tiene impacto fiscal</w:t>
            </w:r>
            <w:r w:rsidR="00745447">
              <w:rPr>
                <w:rFonts w:ascii="Arial" w:hAnsi="Arial" w:cs="Arial"/>
              </w:rPr>
              <w:t xml:space="preserve">, en </w:t>
            </w:r>
            <w:r w:rsidR="007F2250">
              <w:rPr>
                <w:rFonts w:ascii="Arial" w:hAnsi="Arial" w:cs="Arial"/>
              </w:rPr>
              <w:t>consecuencia,</w:t>
            </w:r>
            <w:r w:rsidR="00745447">
              <w:rPr>
                <w:rFonts w:ascii="Arial" w:hAnsi="Arial" w:cs="Arial"/>
              </w:rPr>
              <w:t xml:space="preserve"> n</w:t>
            </w:r>
            <w:r w:rsidR="00745447" w:rsidRPr="00745447">
              <w:rPr>
                <w:rFonts w:ascii="Arial" w:hAnsi="Arial" w:cs="Arial"/>
              </w:rPr>
              <w:t>o será necesario disponer de tiempo y/o medios por parte del Ministerio de Hacienda y Crédito Público o del Departamento Nacional de Planeación para que los destinatarios del proyecto de Decreto pongan en práctica el contenido de este.</w:t>
            </w:r>
          </w:p>
          <w:p w14:paraId="41A16CD4" w14:textId="77777777" w:rsidR="00843EFF" w:rsidRPr="00795C6B" w:rsidRDefault="00843EFF" w:rsidP="00795C6B">
            <w:pPr>
              <w:jc w:val="both"/>
              <w:rPr>
                <w:rFonts w:cs="Arial"/>
                <w:sz w:val="22"/>
                <w:szCs w:val="22"/>
                <w:lang w:val="es-CO"/>
              </w:rPr>
            </w:pPr>
          </w:p>
        </w:tc>
      </w:tr>
      <w:tr w:rsidR="00DF60FD" w:rsidRPr="009F7CED" w14:paraId="2730392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C0992A" w14:textId="77777777" w:rsidR="00843EFF" w:rsidRPr="009F7CED" w:rsidRDefault="00843EFF" w:rsidP="00A161B9">
            <w:pPr>
              <w:rPr>
                <w:rFonts w:cs="Arial"/>
                <w:b/>
                <w:color w:val="000000"/>
                <w:sz w:val="22"/>
                <w:szCs w:val="22"/>
              </w:rPr>
            </w:pPr>
          </w:p>
          <w:p w14:paraId="4BC0D419" w14:textId="77777777" w:rsidR="00DF60FD" w:rsidRPr="007F2250" w:rsidRDefault="00795C6B" w:rsidP="00D05B67">
            <w:pPr>
              <w:numPr>
                <w:ilvl w:val="0"/>
                <w:numId w:val="45"/>
              </w:numPr>
              <w:rPr>
                <w:rFonts w:cs="Arial"/>
                <w:b/>
                <w:color w:val="000000"/>
                <w:sz w:val="22"/>
                <w:szCs w:val="22"/>
              </w:rPr>
            </w:pPr>
            <w:r>
              <w:rPr>
                <w:rFonts w:cs="Arial"/>
                <w:b/>
                <w:color w:val="000000"/>
                <w:sz w:val="22"/>
                <w:szCs w:val="22"/>
              </w:rPr>
              <w:t xml:space="preserve">VIABILIDAD O </w:t>
            </w:r>
            <w:r w:rsidR="00DF60FD" w:rsidRPr="009F7CED">
              <w:rPr>
                <w:rFonts w:cs="Arial"/>
                <w:b/>
                <w:color w:val="000000"/>
                <w:sz w:val="22"/>
                <w:szCs w:val="22"/>
              </w:rPr>
              <w:t xml:space="preserve">DISPONIBILIDAD PRESUPUESTAL </w:t>
            </w:r>
            <w:r w:rsidR="00D05B67" w:rsidRPr="00D05B67">
              <w:rPr>
                <w:rFonts w:cs="Arial"/>
                <w:color w:val="000000"/>
                <w:sz w:val="22"/>
                <w:szCs w:val="22"/>
              </w:rPr>
              <w:t>(Si se requiere)</w:t>
            </w:r>
          </w:p>
          <w:p w14:paraId="6856E270" w14:textId="77777777" w:rsidR="007F2250" w:rsidRPr="009F7CED" w:rsidRDefault="007F2250" w:rsidP="007F2250">
            <w:pPr>
              <w:ind w:left="720"/>
              <w:rPr>
                <w:rFonts w:cs="Arial"/>
                <w:b/>
                <w:color w:val="000000"/>
                <w:sz w:val="22"/>
                <w:szCs w:val="22"/>
              </w:rPr>
            </w:pPr>
          </w:p>
          <w:p w14:paraId="3F9595E1" w14:textId="77777777" w:rsidR="00D05B67" w:rsidRPr="00795C6B" w:rsidRDefault="00D05B67" w:rsidP="00D05B67">
            <w:pPr>
              <w:pStyle w:val="Listavistosa-nfasis11"/>
              <w:jc w:val="both"/>
              <w:rPr>
                <w:rFonts w:ascii="Arial" w:hAnsi="Arial" w:cs="Arial"/>
                <w:i/>
                <w:color w:val="808080"/>
                <w:sz w:val="18"/>
              </w:rPr>
            </w:pPr>
            <w:r w:rsidRPr="00795C6B">
              <w:rPr>
                <w:rFonts w:ascii="Arial" w:hAnsi="Arial" w:cs="Arial"/>
                <w:i/>
                <w:color w:val="808080"/>
                <w:sz w:val="18"/>
              </w:rPr>
              <w:t xml:space="preserve">(Por favor </w:t>
            </w:r>
            <w:r>
              <w:rPr>
                <w:rFonts w:ascii="Arial" w:hAnsi="Arial" w:cs="Arial"/>
                <w:i/>
                <w:color w:val="808080"/>
                <w:sz w:val="18"/>
              </w:rPr>
              <w:t xml:space="preserve">indique si cuenta con los recursos presupuestales disponibles para la implementación del proyecto normativo) </w:t>
            </w:r>
          </w:p>
          <w:p w14:paraId="68A3A790" w14:textId="68C18E10" w:rsidR="00F44A2E" w:rsidRDefault="007F2250" w:rsidP="00F44A2E">
            <w:pPr>
              <w:jc w:val="both"/>
              <w:rPr>
                <w:sz w:val="22"/>
                <w:szCs w:val="22"/>
                <w:lang w:eastAsia="es-CO"/>
              </w:rPr>
            </w:pPr>
            <w:r w:rsidRPr="007F2250">
              <w:rPr>
                <w:sz w:val="22"/>
                <w:szCs w:val="22"/>
                <w:lang w:eastAsia="es-CO"/>
              </w:rPr>
              <w:t>Para el presente proyecto de decreto no se requiere de disponibilidad presupuestal, no tiene impacto en el Presupuesto General de la Nación (PGN) y no genera impacto fiscal.</w:t>
            </w:r>
          </w:p>
          <w:p w14:paraId="69601C72" w14:textId="77777777" w:rsidR="00696582" w:rsidRPr="009F7CED" w:rsidRDefault="00696582" w:rsidP="00F44A2E">
            <w:pPr>
              <w:jc w:val="both"/>
              <w:rPr>
                <w:sz w:val="22"/>
                <w:szCs w:val="22"/>
                <w:lang w:eastAsia="es-CO"/>
              </w:rPr>
            </w:pPr>
          </w:p>
        </w:tc>
      </w:tr>
      <w:tr w:rsidR="00DF60FD" w:rsidRPr="009F7CED" w14:paraId="59851443"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000D4AB0" w14:textId="77777777" w:rsidR="00DF60FD" w:rsidRPr="009F7CED" w:rsidRDefault="00DF60FD" w:rsidP="00D05B67">
            <w:pPr>
              <w:numPr>
                <w:ilvl w:val="0"/>
                <w:numId w:val="45"/>
              </w:numPr>
              <w:jc w:val="both"/>
              <w:rPr>
                <w:rFonts w:cs="Arial"/>
                <w:b/>
                <w:color w:val="000000"/>
                <w:sz w:val="22"/>
                <w:szCs w:val="22"/>
              </w:rPr>
            </w:pPr>
            <w:r w:rsidRPr="009F7CED">
              <w:rPr>
                <w:rFonts w:cs="Arial"/>
                <w:b/>
                <w:color w:val="000000"/>
                <w:sz w:val="22"/>
                <w:szCs w:val="22"/>
              </w:rPr>
              <w:t xml:space="preserve"> IMPACTO MEDIOAMBIENTAL O SOBRE EL PATRIMONIO CULTURAL DE LA NACIÓN </w:t>
            </w:r>
            <w:r w:rsidR="00D05B67" w:rsidRPr="00D05B67">
              <w:rPr>
                <w:rFonts w:cs="Arial"/>
                <w:color w:val="000000"/>
                <w:sz w:val="22"/>
                <w:szCs w:val="22"/>
              </w:rPr>
              <w:t>(Si se requiere)</w:t>
            </w:r>
          </w:p>
          <w:p w14:paraId="18F6FA49" w14:textId="77777777" w:rsidR="00D05B67" w:rsidRDefault="00D05B67" w:rsidP="00696582">
            <w:pPr>
              <w:ind w:left="778"/>
              <w:jc w:val="both"/>
              <w:rPr>
                <w:rFonts w:cs="Arial"/>
                <w:b/>
                <w:color w:val="000000"/>
                <w:sz w:val="22"/>
                <w:szCs w:val="22"/>
              </w:rPr>
            </w:pPr>
            <w:r>
              <w:rPr>
                <w:rFonts w:cs="Arial"/>
                <w:i/>
                <w:color w:val="808080"/>
                <w:sz w:val="18"/>
                <w:szCs w:val="22"/>
              </w:rPr>
              <w:t>(</w:t>
            </w:r>
            <w:r w:rsidRPr="00795C6B">
              <w:rPr>
                <w:rFonts w:cs="Arial"/>
                <w:i/>
                <w:color w:val="808080"/>
                <w:sz w:val="18"/>
                <w:szCs w:val="22"/>
              </w:rPr>
              <w:t xml:space="preserve">Por favor </w:t>
            </w:r>
            <w:r>
              <w:rPr>
                <w:rFonts w:cs="Arial"/>
                <w:i/>
                <w:color w:val="808080"/>
                <w:sz w:val="18"/>
              </w:rPr>
              <w:t xml:space="preserve">indique el proyecto normativo tiene impacto sobre el medio ambiente o el Patrimonio cultural de la Nación) </w:t>
            </w:r>
          </w:p>
          <w:p w14:paraId="55EC8CC6" w14:textId="77777777" w:rsidR="00D05B67" w:rsidRDefault="00D05B67" w:rsidP="00FA4A9E">
            <w:pPr>
              <w:jc w:val="both"/>
              <w:rPr>
                <w:rFonts w:cs="Arial"/>
                <w:b/>
                <w:color w:val="000000"/>
                <w:sz w:val="22"/>
                <w:szCs w:val="22"/>
              </w:rPr>
            </w:pPr>
          </w:p>
          <w:p w14:paraId="033E62A0" w14:textId="77777777" w:rsidR="00696582" w:rsidRDefault="003F4308" w:rsidP="00FA4A9E">
            <w:pPr>
              <w:jc w:val="both"/>
              <w:rPr>
                <w:rFonts w:cs="Arial"/>
                <w:bCs/>
                <w:color w:val="000000"/>
                <w:sz w:val="22"/>
                <w:szCs w:val="22"/>
              </w:rPr>
            </w:pPr>
            <w:r w:rsidRPr="00CD63C0">
              <w:rPr>
                <w:rFonts w:cs="Arial"/>
                <w:bCs/>
                <w:color w:val="000000"/>
                <w:sz w:val="22"/>
                <w:szCs w:val="22"/>
              </w:rPr>
              <w:t>El presente proyecto de decreto no genera impacto medioambiental alguno, ni genera tampoco impacto de ning</w:t>
            </w:r>
            <w:r w:rsidR="00CD63C0" w:rsidRPr="00CD63C0">
              <w:rPr>
                <w:rFonts w:cs="Arial"/>
                <w:bCs/>
                <w:color w:val="000000"/>
                <w:sz w:val="22"/>
                <w:szCs w:val="22"/>
              </w:rPr>
              <w:t>ún tipo</w:t>
            </w:r>
            <w:r w:rsidRPr="00CD63C0">
              <w:rPr>
                <w:rFonts w:cs="Arial"/>
                <w:bCs/>
                <w:color w:val="000000"/>
                <w:sz w:val="22"/>
                <w:szCs w:val="22"/>
              </w:rPr>
              <w:t xml:space="preserve"> al patrimonio cultural de la Nación.</w:t>
            </w:r>
          </w:p>
          <w:p w14:paraId="6EE16FA6" w14:textId="7973A29E" w:rsidR="00F351D9" w:rsidRPr="00CD63C0" w:rsidRDefault="00F351D9" w:rsidP="00FA4A9E">
            <w:pPr>
              <w:jc w:val="both"/>
              <w:rPr>
                <w:rFonts w:cs="Arial"/>
                <w:bCs/>
                <w:color w:val="000000"/>
                <w:sz w:val="22"/>
                <w:szCs w:val="22"/>
              </w:rPr>
            </w:pPr>
          </w:p>
        </w:tc>
      </w:tr>
      <w:tr w:rsidR="00DF60FD" w:rsidRPr="009F7CED" w14:paraId="4DC23B47"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616729FA" w14:textId="77777777" w:rsidR="00D05B67" w:rsidRPr="009F7CED" w:rsidRDefault="00D05B67" w:rsidP="00696582">
            <w:pPr>
              <w:numPr>
                <w:ilvl w:val="0"/>
                <w:numId w:val="45"/>
              </w:numPr>
              <w:jc w:val="both"/>
              <w:rPr>
                <w:rFonts w:cs="Arial"/>
                <w:sz w:val="22"/>
                <w:szCs w:val="22"/>
              </w:rPr>
            </w:pPr>
            <w:r w:rsidRPr="00D05B67">
              <w:rPr>
                <w:rFonts w:cs="Arial"/>
                <w:b/>
                <w:sz w:val="22"/>
                <w:szCs w:val="22"/>
              </w:rPr>
              <w:t>ESTUDIOS TÉCNICOS QUE SUSTENTEN EL PROYECTO NORMATIVO</w:t>
            </w:r>
            <w:r>
              <w:rPr>
                <w:rFonts w:cs="Arial"/>
                <w:sz w:val="22"/>
                <w:szCs w:val="22"/>
              </w:rPr>
              <w:t xml:space="preserve"> (Si cuenta con ellos)</w:t>
            </w:r>
            <w:r w:rsidR="00696582" w:rsidRPr="009F7CED">
              <w:rPr>
                <w:rFonts w:cs="Arial"/>
                <w:sz w:val="22"/>
                <w:szCs w:val="22"/>
              </w:rPr>
              <w:t xml:space="preserve"> </w:t>
            </w:r>
          </w:p>
        </w:tc>
      </w:tr>
      <w:tr w:rsidR="00DF60FD" w:rsidRPr="009F7CED" w14:paraId="419DCBB0"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536C7DA" w14:textId="13DD34CE" w:rsidR="00DF60FD" w:rsidRPr="009F7CED" w:rsidRDefault="00074F70" w:rsidP="0070160F">
            <w:pPr>
              <w:rPr>
                <w:rFonts w:cs="Arial"/>
                <w:sz w:val="22"/>
                <w:szCs w:val="22"/>
              </w:rPr>
            </w:pPr>
            <w:r>
              <w:rPr>
                <w:rFonts w:cs="Arial"/>
                <w:sz w:val="22"/>
                <w:szCs w:val="22"/>
              </w:rPr>
              <w:t xml:space="preserve">No se </w:t>
            </w:r>
            <w:r w:rsidR="00C81C86">
              <w:rPr>
                <w:rFonts w:cs="Arial"/>
                <w:sz w:val="22"/>
                <w:szCs w:val="22"/>
              </w:rPr>
              <w:t xml:space="preserve">requiere estudios técnicos para los temas de modificación del presente proyecto de Decreto. </w:t>
            </w:r>
          </w:p>
        </w:tc>
      </w:tr>
      <w:tr w:rsidR="00DF60FD" w:rsidRPr="009F7CED" w14:paraId="45168B48"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5D9C0271" w14:textId="77777777" w:rsidR="00DF60FD" w:rsidRPr="009F7CED" w:rsidRDefault="00DF60FD" w:rsidP="00843EFF">
            <w:pPr>
              <w:jc w:val="center"/>
              <w:rPr>
                <w:rFonts w:cs="Arial"/>
                <w:sz w:val="22"/>
                <w:szCs w:val="22"/>
                <w:u w:val="single"/>
              </w:rPr>
            </w:pPr>
          </w:p>
        </w:tc>
      </w:tr>
      <w:tr w:rsidR="00DF60FD" w:rsidRPr="00D965B1" w14:paraId="0E0DF9A6" w14:textId="77777777" w:rsidTr="00EE2F54">
        <w:trPr>
          <w:trHeight w:val="416"/>
        </w:trPr>
        <w:tc>
          <w:tcPr>
            <w:tcW w:w="10774" w:type="dxa"/>
            <w:gridSpan w:val="3"/>
            <w:tcBorders>
              <w:top w:val="single" w:sz="4" w:space="0" w:color="auto"/>
              <w:bottom w:val="single" w:sz="4" w:space="0" w:color="auto"/>
            </w:tcBorders>
            <w:shd w:val="clear" w:color="auto" w:fill="993300"/>
            <w:vAlign w:val="center"/>
          </w:tcPr>
          <w:p w14:paraId="0CEA2805" w14:textId="77777777" w:rsidR="00F55DC4" w:rsidRPr="00D965B1" w:rsidRDefault="00DF60FD" w:rsidP="00696582">
            <w:pPr>
              <w:jc w:val="center"/>
              <w:rPr>
                <w:rFonts w:cs="Arial"/>
                <w:color w:val="FFFFFF"/>
                <w:sz w:val="22"/>
                <w:szCs w:val="22"/>
              </w:rPr>
            </w:pPr>
            <w:r w:rsidRPr="00D965B1">
              <w:rPr>
                <w:rFonts w:cs="Arial"/>
                <w:b/>
                <w:color w:val="FFFFFF"/>
                <w:sz w:val="22"/>
                <w:szCs w:val="22"/>
              </w:rPr>
              <w:t>ANEXOS</w:t>
            </w:r>
            <w:r w:rsidR="00D05B67" w:rsidRPr="00D965B1">
              <w:rPr>
                <w:rFonts w:cs="Arial"/>
                <w:b/>
                <w:color w:val="FFFFFF"/>
                <w:sz w:val="22"/>
                <w:szCs w:val="22"/>
              </w:rPr>
              <w:t>:</w:t>
            </w:r>
            <w:r w:rsidR="00696582" w:rsidRPr="00D965B1">
              <w:rPr>
                <w:rFonts w:cs="Arial"/>
                <w:color w:val="FFFFFF"/>
                <w:sz w:val="22"/>
                <w:szCs w:val="22"/>
              </w:rPr>
              <w:t xml:space="preserve"> </w:t>
            </w:r>
          </w:p>
        </w:tc>
      </w:tr>
      <w:tr w:rsidR="00D05B67" w:rsidRPr="009F7CED" w14:paraId="3EE721D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DCA7DBE" w14:textId="1B5C24CB" w:rsidR="00156DE5" w:rsidRDefault="00D05B67" w:rsidP="00D05B67">
            <w:pPr>
              <w:jc w:val="both"/>
              <w:rPr>
                <w:sz w:val="22"/>
                <w:szCs w:val="22"/>
              </w:rPr>
            </w:pPr>
            <w:r>
              <w:rPr>
                <w:rFonts w:cs="Arial"/>
                <w:sz w:val="22"/>
                <w:szCs w:val="22"/>
              </w:rPr>
              <w:t>Certificación de cumplimiento de requisitos de consulta, publicidad y de incorporación en la agenda regulatoria</w:t>
            </w:r>
            <w:r w:rsidR="00DD72D6">
              <w:rPr>
                <w:rFonts w:cs="Arial"/>
                <w:sz w:val="22"/>
                <w:szCs w:val="22"/>
              </w:rPr>
              <w:t>.</w:t>
            </w:r>
          </w:p>
          <w:p w14:paraId="3D257D9C" w14:textId="77777777" w:rsidR="008D1911" w:rsidRDefault="008D1911" w:rsidP="00D05B67">
            <w:pPr>
              <w:jc w:val="both"/>
              <w:rPr>
                <w:rFonts w:eastAsia="Arial" w:cs="Arial"/>
                <w:sz w:val="22"/>
                <w:szCs w:val="22"/>
              </w:rPr>
            </w:pPr>
          </w:p>
          <w:p w14:paraId="2B3D202B" w14:textId="736B061F" w:rsidR="00156DE5" w:rsidRPr="00084B49" w:rsidRDefault="008D1911" w:rsidP="00532ED0">
            <w:pPr>
              <w:jc w:val="both"/>
              <w:rPr>
                <w:rFonts w:cs="Arial"/>
                <w:i/>
                <w:color w:val="808080"/>
                <w:sz w:val="22"/>
                <w:szCs w:val="22"/>
              </w:rPr>
            </w:pPr>
            <w:r w:rsidRPr="00C0650B">
              <w:rPr>
                <w:rFonts w:eastAsia="Arial" w:cs="Arial"/>
                <w:sz w:val="22"/>
                <w:szCs w:val="22"/>
                <w:highlight w:val="cyan"/>
              </w:rPr>
              <w:t xml:space="preserve">Se comparte el </w:t>
            </w:r>
            <w:proofErr w:type="gramStart"/>
            <w:r w:rsidRPr="00C0650B">
              <w:rPr>
                <w:rFonts w:eastAsia="Arial" w:cs="Arial"/>
                <w:sz w:val="22"/>
                <w:szCs w:val="22"/>
                <w:highlight w:val="cyan"/>
              </w:rPr>
              <w:t>link</w:t>
            </w:r>
            <w:proofErr w:type="gramEnd"/>
            <w:r w:rsidRPr="00C0650B">
              <w:rPr>
                <w:rFonts w:eastAsia="Arial" w:cs="Arial"/>
                <w:sz w:val="22"/>
                <w:szCs w:val="22"/>
                <w:highlight w:val="cyan"/>
              </w:rPr>
              <w:t xml:space="preserve"> de la publicación en página web del correspondiente Proyecto de Decreto</w:t>
            </w:r>
            <w:r w:rsidR="00532ED0">
              <w:rPr>
                <w:rFonts w:eastAsia="Arial" w:cs="Arial"/>
                <w:sz w:val="22"/>
                <w:szCs w:val="22"/>
              </w:rPr>
              <w:t xml:space="preserve">. </w:t>
            </w:r>
          </w:p>
        </w:tc>
        <w:tc>
          <w:tcPr>
            <w:tcW w:w="3119" w:type="dxa"/>
            <w:tcBorders>
              <w:top w:val="single" w:sz="4" w:space="0" w:color="auto"/>
              <w:left w:val="single" w:sz="4" w:space="0" w:color="auto"/>
              <w:bottom w:val="single" w:sz="4" w:space="0" w:color="auto"/>
            </w:tcBorders>
            <w:shd w:val="clear" w:color="auto" w:fill="FFFFFF"/>
            <w:vAlign w:val="center"/>
          </w:tcPr>
          <w:p w14:paraId="6307D79A" w14:textId="77777777" w:rsidR="00D05B67" w:rsidRPr="00084B49" w:rsidRDefault="00D05B67" w:rsidP="00D05B67">
            <w:pPr>
              <w:jc w:val="both"/>
              <w:rPr>
                <w:rFonts w:cs="Arial"/>
                <w:i/>
                <w:color w:val="808080"/>
                <w:sz w:val="22"/>
                <w:szCs w:val="22"/>
              </w:rPr>
            </w:pPr>
            <w:r w:rsidRPr="00084B49">
              <w:rPr>
                <w:rFonts w:cs="Arial"/>
                <w:i/>
                <w:color w:val="808080"/>
                <w:sz w:val="22"/>
                <w:szCs w:val="22"/>
              </w:rPr>
              <w:t>(Marque con una x)</w:t>
            </w:r>
          </w:p>
        </w:tc>
      </w:tr>
      <w:tr w:rsidR="00D05B67" w:rsidRPr="009F7CED" w14:paraId="6AF4570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408ED7F" w14:textId="77777777" w:rsidR="00D05B67" w:rsidRDefault="00D05B67" w:rsidP="00D05B67">
            <w:pPr>
              <w:jc w:val="both"/>
              <w:rPr>
                <w:rFonts w:cs="Arial"/>
                <w:sz w:val="22"/>
                <w:szCs w:val="22"/>
              </w:rPr>
            </w:pPr>
            <w:r>
              <w:rPr>
                <w:rFonts w:cs="Arial"/>
                <w:sz w:val="22"/>
                <w:szCs w:val="22"/>
              </w:rPr>
              <w:lastRenderedPageBreak/>
              <w:t>Concepto</w:t>
            </w:r>
            <w:r w:rsidR="005F30C3">
              <w:rPr>
                <w:rFonts w:cs="Arial"/>
                <w:sz w:val="22"/>
                <w:szCs w:val="22"/>
              </w:rPr>
              <w:t>(s)</w:t>
            </w:r>
            <w:r>
              <w:rPr>
                <w:rFonts w:cs="Arial"/>
                <w:sz w:val="22"/>
                <w:szCs w:val="22"/>
              </w:rPr>
              <w:t xml:space="preserve"> de Min</w:t>
            </w:r>
            <w:r w:rsidR="005F30C3">
              <w:rPr>
                <w:rFonts w:cs="Arial"/>
                <w:sz w:val="22"/>
                <w:szCs w:val="22"/>
              </w:rPr>
              <w:t>isterio de</w:t>
            </w:r>
            <w:r>
              <w:rPr>
                <w:rFonts w:cs="Arial"/>
                <w:sz w:val="22"/>
                <w:szCs w:val="22"/>
              </w:rPr>
              <w:t xml:space="preserve"> Comercio</w:t>
            </w:r>
            <w:r w:rsidR="005F30C3">
              <w:rPr>
                <w:rFonts w:cs="Arial"/>
                <w:sz w:val="22"/>
                <w:szCs w:val="22"/>
              </w:rPr>
              <w:t>, Industria y Turismo</w:t>
            </w:r>
          </w:p>
          <w:p w14:paraId="11311F9A" w14:textId="77777777" w:rsidR="00D05B67" w:rsidRDefault="005F30C3" w:rsidP="00D05B67">
            <w:pPr>
              <w:jc w:val="both"/>
              <w:rPr>
                <w:rFonts w:cs="Arial"/>
                <w:i/>
                <w:color w:val="808080"/>
                <w:szCs w:val="22"/>
              </w:rPr>
            </w:pPr>
            <w:r w:rsidRPr="00084B49">
              <w:rPr>
                <w:rFonts w:cs="Arial"/>
                <w:i/>
                <w:color w:val="808080"/>
                <w:szCs w:val="22"/>
              </w:rPr>
              <w:t>(Cuando se trate de un proyecto de reglamento técnico o de procedimientos de evaluación de conformidad)</w:t>
            </w:r>
          </w:p>
          <w:p w14:paraId="258BFF2C" w14:textId="40FA40F3" w:rsidR="007158F7" w:rsidRPr="007158F7" w:rsidRDefault="007158F7" w:rsidP="00D05B67">
            <w:pPr>
              <w:jc w:val="both"/>
              <w:rPr>
                <w:rFonts w:cs="Arial"/>
                <w:iCs/>
                <w:color w:val="808080"/>
                <w:sz w:val="22"/>
                <w:szCs w:val="22"/>
              </w:rPr>
            </w:pPr>
            <w:r w:rsidRPr="00532ED0">
              <w:rPr>
                <w:rFonts w:cs="Arial"/>
                <w:iCs/>
                <w:color w:val="171717" w:themeColor="background2" w:themeShade="1A"/>
                <w:szCs w:val="22"/>
              </w:rPr>
              <w:t>N/A</w:t>
            </w:r>
          </w:p>
        </w:tc>
        <w:tc>
          <w:tcPr>
            <w:tcW w:w="3119" w:type="dxa"/>
            <w:tcBorders>
              <w:top w:val="single" w:sz="4" w:space="0" w:color="auto"/>
              <w:left w:val="single" w:sz="4" w:space="0" w:color="auto"/>
              <w:bottom w:val="single" w:sz="4" w:space="0" w:color="auto"/>
            </w:tcBorders>
            <w:shd w:val="clear" w:color="auto" w:fill="FFFFFF"/>
            <w:vAlign w:val="center"/>
          </w:tcPr>
          <w:p w14:paraId="06C91341" w14:textId="77777777" w:rsidR="00D05B67"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1AD5B35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ABBFDD7" w14:textId="77777777" w:rsidR="005F30C3" w:rsidRDefault="005F30C3" w:rsidP="00D05B67">
            <w:pPr>
              <w:jc w:val="both"/>
              <w:rPr>
                <w:rFonts w:cs="Arial"/>
                <w:sz w:val="22"/>
                <w:szCs w:val="22"/>
              </w:rPr>
            </w:pPr>
            <w:r>
              <w:rPr>
                <w:rFonts w:cs="Arial"/>
                <w:sz w:val="22"/>
                <w:szCs w:val="22"/>
              </w:rPr>
              <w:t xml:space="preserve">Informe de observaciones y respuestas </w:t>
            </w:r>
          </w:p>
          <w:p w14:paraId="7B90DADC" w14:textId="77777777" w:rsidR="005F30C3" w:rsidRDefault="005F30C3" w:rsidP="00D05B67">
            <w:pPr>
              <w:jc w:val="both"/>
              <w:rPr>
                <w:rFonts w:cs="Arial"/>
                <w:i/>
                <w:color w:val="808080"/>
                <w:szCs w:val="22"/>
              </w:rPr>
            </w:pPr>
            <w:r w:rsidRPr="00084B49">
              <w:rPr>
                <w:rFonts w:cs="Arial"/>
                <w:i/>
                <w:color w:val="808080"/>
                <w:szCs w:val="22"/>
              </w:rPr>
              <w:t>(Análisis del informe con la evaluación de las observaciones de los ciudadanos y grupos de interés sobre el proyecto normativo)</w:t>
            </w:r>
          </w:p>
          <w:p w14:paraId="6BD6C3BA" w14:textId="0E756365" w:rsidR="00532ED0" w:rsidRDefault="00532ED0" w:rsidP="00532ED0">
            <w:pPr>
              <w:jc w:val="both"/>
              <w:rPr>
                <w:sz w:val="22"/>
                <w:szCs w:val="22"/>
              </w:rPr>
            </w:pPr>
            <w:r>
              <w:rPr>
                <w:rFonts w:eastAsia="Arial" w:cs="Arial"/>
                <w:sz w:val="22"/>
                <w:szCs w:val="22"/>
                <w:highlight w:val="cyan"/>
              </w:rPr>
              <w:t>D</w:t>
            </w:r>
            <w:r w:rsidRPr="00C0650B">
              <w:rPr>
                <w:rFonts w:eastAsia="Arial" w:cs="Arial"/>
                <w:sz w:val="22"/>
                <w:szCs w:val="22"/>
                <w:highlight w:val="cyan"/>
              </w:rPr>
              <w:t>ocumento matriz que compila los comentarios realizados por la ciudadanía, así como la justificación de incorporación o no a cada uno de estos.</w:t>
            </w:r>
            <w:r>
              <w:rPr>
                <w:rFonts w:eastAsia="Arial" w:cs="Arial"/>
                <w:sz w:val="22"/>
                <w:szCs w:val="22"/>
              </w:rPr>
              <w:t xml:space="preserve"> (Esto en el caso que corresponda)</w:t>
            </w:r>
            <w:r>
              <w:rPr>
                <w:sz w:val="22"/>
                <w:szCs w:val="22"/>
              </w:rPr>
              <w:t>.</w:t>
            </w:r>
          </w:p>
          <w:p w14:paraId="5905E776" w14:textId="77777777" w:rsidR="00532ED0" w:rsidRPr="00532ED0" w:rsidRDefault="00532ED0" w:rsidP="00D05B67">
            <w:pPr>
              <w:jc w:val="both"/>
              <w:rPr>
                <w:rFonts w:cs="Arial"/>
                <w:iCs/>
                <w:color w:val="808080"/>
                <w:sz w:val="22"/>
                <w:szCs w:val="22"/>
              </w:rPr>
            </w:pPr>
          </w:p>
        </w:tc>
        <w:tc>
          <w:tcPr>
            <w:tcW w:w="3119" w:type="dxa"/>
            <w:tcBorders>
              <w:top w:val="single" w:sz="4" w:space="0" w:color="auto"/>
              <w:left w:val="single" w:sz="4" w:space="0" w:color="auto"/>
              <w:bottom w:val="single" w:sz="4" w:space="0" w:color="auto"/>
            </w:tcBorders>
            <w:shd w:val="clear" w:color="auto" w:fill="FFFFFF"/>
            <w:vAlign w:val="center"/>
          </w:tcPr>
          <w:p w14:paraId="528D8936" w14:textId="77777777" w:rsidR="005F30C3"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6FF401B8"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34CBD9C" w14:textId="77777777" w:rsidR="005F30C3" w:rsidRDefault="005F30C3" w:rsidP="00D05B67">
            <w:pPr>
              <w:jc w:val="both"/>
              <w:rPr>
                <w:rFonts w:cs="Arial"/>
                <w:sz w:val="22"/>
                <w:szCs w:val="22"/>
              </w:rPr>
            </w:pPr>
            <w:r>
              <w:rPr>
                <w:rFonts w:cs="Arial"/>
                <w:sz w:val="22"/>
                <w:szCs w:val="22"/>
              </w:rPr>
              <w:t>Concepto de Abogacía de la Competencia de la Superintendencia de Industria y Comercio</w:t>
            </w:r>
          </w:p>
          <w:p w14:paraId="55249A09" w14:textId="77777777" w:rsidR="005F30C3" w:rsidRDefault="005F30C3" w:rsidP="00D05B67">
            <w:pPr>
              <w:jc w:val="both"/>
              <w:rPr>
                <w:rFonts w:cs="Arial"/>
                <w:i/>
                <w:color w:val="808080"/>
                <w:szCs w:val="22"/>
              </w:rPr>
            </w:pPr>
            <w:r w:rsidRPr="00084B49">
              <w:rPr>
                <w:rFonts w:cs="Arial"/>
                <w:i/>
                <w:color w:val="808080"/>
                <w:szCs w:val="22"/>
              </w:rPr>
              <w:t>(Cuando los proyectos normativos tengan incidencia en la libre competencia de los mercados)</w:t>
            </w:r>
          </w:p>
          <w:p w14:paraId="0212D055" w14:textId="2E94CDE4" w:rsidR="00DC2968" w:rsidRPr="00DC2968" w:rsidRDefault="00DC2968" w:rsidP="00D05B67">
            <w:pPr>
              <w:jc w:val="both"/>
              <w:rPr>
                <w:rFonts w:cs="Arial"/>
                <w:iCs/>
                <w:color w:val="808080"/>
                <w:sz w:val="22"/>
                <w:szCs w:val="22"/>
              </w:rPr>
            </w:pPr>
            <w:r w:rsidRPr="00DC2968">
              <w:rPr>
                <w:rFonts w:cs="Arial"/>
                <w:iCs/>
                <w:color w:val="171717" w:themeColor="background2" w:themeShade="1A"/>
                <w:szCs w:val="22"/>
              </w:rPr>
              <w:t>N/A</w:t>
            </w:r>
          </w:p>
        </w:tc>
        <w:tc>
          <w:tcPr>
            <w:tcW w:w="3119" w:type="dxa"/>
            <w:tcBorders>
              <w:top w:val="single" w:sz="4" w:space="0" w:color="auto"/>
              <w:left w:val="single" w:sz="4" w:space="0" w:color="auto"/>
              <w:bottom w:val="single" w:sz="4" w:space="0" w:color="auto"/>
            </w:tcBorders>
            <w:shd w:val="clear" w:color="auto" w:fill="FFFFFF"/>
            <w:vAlign w:val="center"/>
          </w:tcPr>
          <w:p w14:paraId="26CF0B5F" w14:textId="77777777" w:rsidR="005F30C3"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1DA20083"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FBADAB6" w14:textId="211936E0" w:rsidR="00DC2968" w:rsidRDefault="005F30C3" w:rsidP="00D05B67">
            <w:pPr>
              <w:jc w:val="both"/>
              <w:rPr>
                <w:rFonts w:cs="Arial"/>
                <w:sz w:val="22"/>
                <w:szCs w:val="22"/>
              </w:rPr>
            </w:pPr>
            <w:r>
              <w:rPr>
                <w:rFonts w:cs="Arial"/>
                <w:sz w:val="22"/>
                <w:szCs w:val="22"/>
              </w:rPr>
              <w:t>Concepto de aprobación nuevos trámites del Departamento Administrativo de la Función Pública</w:t>
            </w:r>
          </w:p>
          <w:p w14:paraId="401ECFF1" w14:textId="77777777" w:rsidR="005F30C3" w:rsidRDefault="005F30C3" w:rsidP="00D05B67">
            <w:pPr>
              <w:jc w:val="both"/>
              <w:rPr>
                <w:rFonts w:cs="Arial"/>
                <w:i/>
                <w:color w:val="808080"/>
                <w:szCs w:val="22"/>
              </w:rPr>
            </w:pPr>
            <w:r w:rsidRPr="00084B49">
              <w:rPr>
                <w:rFonts w:cs="Arial"/>
                <w:i/>
                <w:color w:val="808080"/>
                <w:szCs w:val="22"/>
              </w:rPr>
              <w:t>(Cuando el proyecto normativo adopte o modifique un trámite)</w:t>
            </w:r>
          </w:p>
          <w:p w14:paraId="47C4DB8E" w14:textId="77777777" w:rsidR="00DC2968" w:rsidRDefault="00DC2968" w:rsidP="00D05B67">
            <w:pPr>
              <w:jc w:val="both"/>
              <w:rPr>
                <w:rFonts w:cs="Arial"/>
                <w:sz w:val="22"/>
                <w:szCs w:val="22"/>
              </w:rPr>
            </w:pPr>
          </w:p>
        </w:tc>
        <w:tc>
          <w:tcPr>
            <w:tcW w:w="3119" w:type="dxa"/>
            <w:tcBorders>
              <w:top w:val="single" w:sz="4" w:space="0" w:color="auto"/>
              <w:left w:val="single" w:sz="4" w:space="0" w:color="auto"/>
              <w:bottom w:val="single" w:sz="4" w:space="0" w:color="auto"/>
            </w:tcBorders>
            <w:shd w:val="clear" w:color="auto" w:fill="FFFFFF"/>
            <w:vAlign w:val="center"/>
          </w:tcPr>
          <w:p w14:paraId="6627BD9C" w14:textId="77777777" w:rsidR="005F30C3"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730E557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AFA5836" w14:textId="77777777" w:rsidR="005F30C3" w:rsidRDefault="005F30C3" w:rsidP="00084B49">
            <w:pPr>
              <w:jc w:val="both"/>
              <w:rPr>
                <w:rFonts w:cs="Arial"/>
                <w:sz w:val="22"/>
                <w:szCs w:val="22"/>
              </w:rPr>
            </w:pPr>
            <w:r>
              <w:rPr>
                <w:rFonts w:cs="Arial"/>
                <w:sz w:val="22"/>
                <w:szCs w:val="22"/>
              </w:rPr>
              <w:t xml:space="preserve">Otro </w:t>
            </w:r>
          </w:p>
          <w:p w14:paraId="2116F96B" w14:textId="77777777" w:rsidR="005F30C3" w:rsidRDefault="005F30C3" w:rsidP="00084B49">
            <w:pPr>
              <w:jc w:val="both"/>
              <w:rPr>
                <w:rFonts w:cs="Arial"/>
                <w:sz w:val="22"/>
                <w:szCs w:val="22"/>
              </w:rPr>
            </w:pPr>
            <w:r w:rsidRPr="00084B49">
              <w:rPr>
                <w:rFonts w:cs="Arial"/>
                <w:i/>
                <w:color w:val="808080"/>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096B43A2" w14:textId="77777777" w:rsidR="005F30C3" w:rsidRDefault="005F30C3" w:rsidP="00D05B67">
            <w:pPr>
              <w:jc w:val="both"/>
              <w:rPr>
                <w:rFonts w:cs="Arial"/>
                <w:sz w:val="22"/>
                <w:szCs w:val="22"/>
              </w:rPr>
            </w:pPr>
            <w:r w:rsidRPr="005F30C3">
              <w:rPr>
                <w:rFonts w:cs="Arial"/>
                <w:i/>
                <w:color w:val="808080"/>
                <w:sz w:val="22"/>
                <w:szCs w:val="22"/>
              </w:rPr>
              <w:t>(Marque con una x)</w:t>
            </w:r>
          </w:p>
        </w:tc>
      </w:tr>
    </w:tbl>
    <w:p w14:paraId="07F0EE14" w14:textId="77777777" w:rsidR="00301DC2" w:rsidRPr="009F7CED" w:rsidRDefault="00301DC2" w:rsidP="00587695">
      <w:pPr>
        <w:ind w:right="-377"/>
        <w:jc w:val="both"/>
        <w:rPr>
          <w:rFonts w:cs="Arial"/>
          <w:sz w:val="22"/>
          <w:szCs w:val="22"/>
        </w:rPr>
      </w:pPr>
    </w:p>
    <w:p w14:paraId="40EA2BE3" w14:textId="77777777" w:rsidR="00B66D03" w:rsidRPr="00D05B67" w:rsidRDefault="000B30A6" w:rsidP="0069658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61122F76" w14:textId="77777777" w:rsidR="007E4CE3" w:rsidRPr="009F7CED" w:rsidRDefault="007E4CE3" w:rsidP="00086B16">
      <w:pPr>
        <w:ind w:left="-1276" w:right="-377"/>
        <w:jc w:val="both"/>
        <w:rPr>
          <w:rFonts w:cs="Arial"/>
          <w:sz w:val="22"/>
          <w:szCs w:val="22"/>
        </w:rPr>
      </w:pPr>
    </w:p>
    <w:p w14:paraId="11B39FE8" w14:textId="77777777" w:rsidR="00014D67" w:rsidRPr="009F7CED" w:rsidRDefault="00014D67" w:rsidP="00086B16">
      <w:pPr>
        <w:ind w:left="-1276" w:right="-377"/>
        <w:jc w:val="both"/>
        <w:rPr>
          <w:rFonts w:cs="Arial"/>
          <w:sz w:val="22"/>
          <w:szCs w:val="22"/>
        </w:rPr>
      </w:pPr>
    </w:p>
    <w:p w14:paraId="330A392F" w14:textId="77777777" w:rsidR="00D05B67" w:rsidRDefault="00D05B67" w:rsidP="00D05B67">
      <w:pPr>
        <w:pStyle w:val="Listavistosa-nfasis11"/>
        <w:jc w:val="both"/>
        <w:rPr>
          <w:rFonts w:ascii="Arial" w:hAnsi="Arial" w:cs="Arial"/>
          <w:b/>
        </w:rPr>
      </w:pPr>
      <w:r>
        <w:rPr>
          <w:rFonts w:ascii="Arial" w:hAnsi="Arial" w:cs="Arial"/>
          <w:b/>
        </w:rPr>
        <w:t>______________</w:t>
      </w:r>
      <w:r w:rsidR="00022C96">
        <w:rPr>
          <w:rFonts w:ascii="Arial" w:hAnsi="Arial" w:cs="Arial"/>
          <w:b/>
        </w:rPr>
        <w:t>_______________</w:t>
      </w:r>
      <w:r>
        <w:rPr>
          <w:rFonts w:ascii="Arial" w:hAnsi="Arial" w:cs="Arial"/>
          <w:b/>
        </w:rPr>
        <w:t>___</w:t>
      </w:r>
    </w:p>
    <w:p w14:paraId="2A4098DE" w14:textId="77777777" w:rsidR="00D05B67" w:rsidRDefault="00D05B67" w:rsidP="00696582">
      <w:pPr>
        <w:pStyle w:val="Listavistosa-nfasis11"/>
        <w:rPr>
          <w:rFonts w:ascii="Arial" w:hAnsi="Arial" w:cs="Arial"/>
          <w:b/>
        </w:rPr>
      </w:pPr>
      <w:r>
        <w:rPr>
          <w:rFonts w:ascii="Arial" w:hAnsi="Arial" w:cs="Arial"/>
          <w:b/>
        </w:rPr>
        <w:t>Nombre y firma del Jefe de la Oficina Jurídica entidad originadora o dependencia que haga sus veces</w:t>
      </w:r>
    </w:p>
    <w:p w14:paraId="5E52EFFF" w14:textId="77777777" w:rsidR="00F644C2" w:rsidRDefault="00F644C2" w:rsidP="00022C96">
      <w:pPr>
        <w:ind w:firstLine="708"/>
        <w:jc w:val="both"/>
        <w:rPr>
          <w:rFonts w:cs="Arial"/>
          <w:b/>
        </w:rPr>
      </w:pPr>
    </w:p>
    <w:p w14:paraId="4028D880" w14:textId="61A0AE75" w:rsidR="00F644C2" w:rsidRPr="00F644C2" w:rsidRDefault="003F5F77" w:rsidP="00022C96">
      <w:pPr>
        <w:ind w:firstLine="708"/>
        <w:jc w:val="both"/>
        <w:rPr>
          <w:rFonts w:cs="Arial"/>
          <w:b/>
        </w:rPr>
      </w:pPr>
      <w:r>
        <w:rPr>
          <w:rFonts w:cs="Arial"/>
          <w:b/>
          <w:u w:val="single"/>
        </w:rPr>
        <w:t>EDWIN PALMA EGEA</w:t>
      </w:r>
      <w:r w:rsidRPr="00F644C2">
        <w:rPr>
          <w:rFonts w:cs="Arial"/>
          <w:b/>
          <w:u w:val="single"/>
        </w:rPr>
        <w:t xml:space="preserve"> </w:t>
      </w:r>
    </w:p>
    <w:p w14:paraId="30824F6F" w14:textId="77777777" w:rsidR="00F644C2" w:rsidRDefault="00F644C2" w:rsidP="00022C96">
      <w:pPr>
        <w:ind w:firstLine="708"/>
        <w:jc w:val="both"/>
        <w:rPr>
          <w:rFonts w:cs="Arial"/>
          <w:b/>
        </w:rPr>
      </w:pPr>
      <w:r w:rsidRPr="00F644C2">
        <w:rPr>
          <w:rFonts w:cs="Arial"/>
          <w:b/>
        </w:rPr>
        <w:t>Viceministro de Relaciones Laborales e Inspección</w:t>
      </w:r>
    </w:p>
    <w:p w14:paraId="5BE1C746" w14:textId="77777777" w:rsidR="00F644C2" w:rsidRDefault="00F644C2" w:rsidP="00022C96">
      <w:pPr>
        <w:ind w:firstLine="708"/>
        <w:jc w:val="both"/>
        <w:rPr>
          <w:rFonts w:cs="Arial"/>
          <w:b/>
        </w:rPr>
      </w:pPr>
    </w:p>
    <w:p w14:paraId="36AC0E34" w14:textId="77777777" w:rsidR="00F644C2" w:rsidRPr="003F5F77" w:rsidRDefault="00F644C2" w:rsidP="00022C96">
      <w:pPr>
        <w:ind w:firstLine="708"/>
        <w:jc w:val="both"/>
        <w:rPr>
          <w:rFonts w:cs="Arial"/>
          <w:b/>
          <w:u w:val="single"/>
        </w:rPr>
      </w:pPr>
    </w:p>
    <w:p w14:paraId="4FAAF323" w14:textId="0B10D149" w:rsidR="003F5F77" w:rsidRPr="003F5F77" w:rsidRDefault="003F5F77" w:rsidP="00022C96">
      <w:pPr>
        <w:ind w:firstLine="708"/>
        <w:jc w:val="both"/>
        <w:rPr>
          <w:rFonts w:cs="Arial"/>
          <w:b/>
          <w:u w:val="single"/>
        </w:rPr>
      </w:pPr>
      <w:r w:rsidRPr="003F5F77">
        <w:rPr>
          <w:rFonts w:cs="Arial"/>
          <w:b/>
          <w:u w:val="single"/>
        </w:rPr>
        <w:t>JUAN NICOLÁS ESCANDÓN HENAO</w:t>
      </w:r>
    </w:p>
    <w:p w14:paraId="7FF4E75D" w14:textId="33558702" w:rsidR="003F5F77" w:rsidRPr="00F644C2" w:rsidRDefault="003F5F77" w:rsidP="00022C96">
      <w:pPr>
        <w:ind w:firstLine="708"/>
        <w:jc w:val="both"/>
        <w:rPr>
          <w:rFonts w:cs="Arial"/>
          <w:b/>
        </w:rPr>
      </w:pPr>
      <w:r>
        <w:rPr>
          <w:rFonts w:cs="Arial"/>
          <w:b/>
        </w:rPr>
        <w:t>Director de Derechos Fundamentales</w:t>
      </w:r>
    </w:p>
    <w:p w14:paraId="13EB5D22" w14:textId="16EE1203" w:rsidR="00022C96" w:rsidRDefault="00022C96" w:rsidP="00022C96">
      <w:pPr>
        <w:ind w:firstLine="708"/>
        <w:jc w:val="both"/>
        <w:rPr>
          <w:rFonts w:cs="Arial"/>
          <w:b/>
        </w:rPr>
      </w:pPr>
    </w:p>
    <w:p w14:paraId="4760AA55" w14:textId="77777777" w:rsidR="00D05B67" w:rsidRDefault="00D05B67" w:rsidP="00696582">
      <w:pPr>
        <w:pStyle w:val="Listavistosa-nfasis11"/>
        <w:rPr>
          <w:rFonts w:ascii="Arial" w:hAnsi="Arial" w:cs="Arial"/>
          <w:b/>
        </w:rPr>
      </w:pPr>
      <w:r>
        <w:rPr>
          <w:rFonts w:ascii="Arial" w:hAnsi="Arial" w:cs="Arial"/>
          <w:b/>
        </w:rPr>
        <w:t xml:space="preserve">Nombre y firma del </w:t>
      </w:r>
      <w:r w:rsidRPr="00E20457">
        <w:rPr>
          <w:rFonts w:ascii="Arial" w:hAnsi="Arial" w:cs="Arial"/>
          <w:b/>
        </w:rPr>
        <w:t>(los) servidor(es) público(s) responsables</w:t>
      </w:r>
      <w:r w:rsidRPr="00D05B67">
        <w:rPr>
          <w:rFonts w:ascii="Arial" w:hAnsi="Arial" w:cs="Arial"/>
          <w:b/>
        </w:rPr>
        <w:t xml:space="preserve"> en la entidad cabeza del sector administrativo que lidera el proyecto </w:t>
      </w:r>
      <w:r>
        <w:rPr>
          <w:rFonts w:ascii="Arial" w:hAnsi="Arial" w:cs="Arial"/>
          <w:b/>
        </w:rPr>
        <w:t>normativo</w:t>
      </w:r>
    </w:p>
    <w:p w14:paraId="7DA6A1F2" w14:textId="114565F5" w:rsidR="00022C96" w:rsidRDefault="003F5F77" w:rsidP="00022C96">
      <w:pPr>
        <w:ind w:firstLine="708"/>
        <w:jc w:val="both"/>
        <w:rPr>
          <w:rFonts w:cs="Arial"/>
          <w:b/>
          <w:u w:val="single"/>
        </w:rPr>
      </w:pPr>
      <w:r w:rsidRPr="003F5F77">
        <w:rPr>
          <w:rFonts w:cs="Arial"/>
          <w:b/>
          <w:u w:val="single"/>
        </w:rPr>
        <w:t>JESÚS HERNANDO AMADO ABRIL</w:t>
      </w:r>
    </w:p>
    <w:p w14:paraId="1672BE6A" w14:textId="12F74AE4" w:rsidR="003F5F77" w:rsidRPr="003F5F77" w:rsidRDefault="003F5F77" w:rsidP="00022C96">
      <w:pPr>
        <w:ind w:firstLine="708"/>
        <w:jc w:val="both"/>
        <w:rPr>
          <w:rFonts w:cs="Arial"/>
          <w:b/>
        </w:rPr>
      </w:pPr>
      <w:r>
        <w:rPr>
          <w:rFonts w:cs="Arial"/>
          <w:b/>
        </w:rPr>
        <w:t>Subdirector del Departamento Administrativo de la Función Pública</w:t>
      </w:r>
    </w:p>
    <w:p w14:paraId="79B939E2" w14:textId="77777777" w:rsidR="003F5F77" w:rsidRDefault="003F5F77" w:rsidP="00022C96">
      <w:pPr>
        <w:ind w:firstLine="708"/>
        <w:jc w:val="both"/>
        <w:rPr>
          <w:rFonts w:cs="Arial"/>
          <w:b/>
        </w:rPr>
      </w:pPr>
    </w:p>
    <w:p w14:paraId="7C9FADEE" w14:textId="77777777" w:rsidR="006779DA" w:rsidRPr="0075705D" w:rsidRDefault="00D05B67" w:rsidP="00696582">
      <w:pPr>
        <w:pStyle w:val="Listavistosa-nfasis11"/>
        <w:rPr>
          <w:rFonts w:ascii="Arial" w:hAnsi="Arial" w:cs="Arial"/>
          <w:b/>
        </w:rPr>
      </w:pPr>
      <w:r>
        <w:rPr>
          <w:rFonts w:ascii="Arial" w:hAnsi="Arial" w:cs="Arial"/>
          <w:b/>
        </w:rPr>
        <w:t xml:space="preserve">Nombre y firma del </w:t>
      </w:r>
      <w:r w:rsidRPr="00E20457">
        <w:rPr>
          <w:rFonts w:ascii="Arial" w:hAnsi="Arial" w:cs="Arial"/>
          <w:b/>
        </w:rPr>
        <w:t>(los) servidor(es) público(s) responsables</w:t>
      </w:r>
      <w:r w:rsidRPr="00D05B67">
        <w:rPr>
          <w:rFonts w:ascii="Arial" w:hAnsi="Arial" w:cs="Arial"/>
          <w:b/>
        </w:rPr>
        <w:t xml:space="preserve"> de otras entidades</w:t>
      </w:r>
      <w:r>
        <w:t xml:space="preserve"> </w:t>
      </w:r>
    </w:p>
    <w:sectPr w:rsidR="006779DA" w:rsidRPr="0075705D" w:rsidSect="00696582">
      <w:headerReference w:type="default" r:id="rId8"/>
      <w:footerReference w:type="default" r:id="rId9"/>
      <w:headerReference w:type="first" r:id="rId10"/>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F59C" w14:textId="77777777" w:rsidR="0045516B" w:rsidRDefault="0045516B">
      <w:r>
        <w:separator/>
      </w:r>
    </w:p>
  </w:endnote>
  <w:endnote w:type="continuationSeparator" w:id="0">
    <w:p w14:paraId="5C06A73B" w14:textId="77777777" w:rsidR="0045516B" w:rsidRDefault="0045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8F7C" w14:textId="06D6DB68" w:rsidR="00836C6A" w:rsidRDefault="00836C6A">
    <w:pPr>
      <w:pStyle w:val="Piedepgina"/>
      <w:jc w:val="right"/>
    </w:pPr>
    <w:r>
      <w:fldChar w:fldCharType="begin"/>
    </w:r>
    <w:r w:rsidR="000C5964">
      <w:instrText>PAGE</w:instrText>
    </w:r>
    <w:r>
      <w:instrText xml:space="preserve">   \* MERGEFORMAT</w:instrText>
    </w:r>
    <w:r>
      <w:fldChar w:fldCharType="separate"/>
    </w:r>
    <w:r w:rsidR="008F6680">
      <w:rPr>
        <w:noProof/>
      </w:rPr>
      <w:t>7</w:t>
    </w:r>
    <w:r>
      <w:fldChar w:fldCharType="end"/>
    </w:r>
  </w:p>
  <w:p w14:paraId="53226DA6"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3913" w14:textId="77777777" w:rsidR="0045516B" w:rsidRDefault="0045516B">
      <w:r>
        <w:separator/>
      </w:r>
    </w:p>
  </w:footnote>
  <w:footnote w:type="continuationSeparator" w:id="0">
    <w:p w14:paraId="63A6F4F9" w14:textId="77777777" w:rsidR="0045516B" w:rsidRDefault="0045516B">
      <w:r>
        <w:continuationSeparator/>
      </w:r>
    </w:p>
  </w:footnote>
  <w:footnote w:id="1">
    <w:p w14:paraId="2060358E" w14:textId="2C180D83" w:rsidR="000C3FE3" w:rsidRDefault="000C3FE3" w:rsidP="0077029B">
      <w:pPr>
        <w:pStyle w:val="Textonotapie"/>
        <w:jc w:val="both"/>
      </w:pPr>
      <w:r>
        <w:rPr>
          <w:rStyle w:val="Refdenotaalpie"/>
        </w:rPr>
        <w:footnoteRef/>
      </w:r>
      <w:r>
        <w:t xml:space="preserve"> </w:t>
      </w:r>
      <w:r w:rsidR="0077029B">
        <w:t xml:space="preserve">Restrepo, Juan Camilo. Texto consultado en sitio web </w:t>
      </w:r>
      <w:hyperlink r:id="rId1" w:history="1">
        <w:r w:rsidR="0077029B" w:rsidRPr="00BC70B2">
          <w:rPr>
            <w:rStyle w:val="Hipervnculo"/>
          </w:rPr>
          <w:t>https://www.ilo.org/wcmsp5/groups/public/---americas/---ro-lima/---sro-lima/documents/genericdocument/wcms_561225.pdf</w:t>
        </w:r>
      </w:hyperlink>
      <w:r w:rsidR="0077029B">
        <w:t>, el 19 de diciembre de 2023.</w:t>
      </w:r>
    </w:p>
    <w:p w14:paraId="0F0855EE" w14:textId="77777777" w:rsidR="0077029B" w:rsidRPr="000C3FE3" w:rsidRDefault="0077029B" w:rsidP="0077029B">
      <w:pPr>
        <w:pStyle w:val="Textonotapie"/>
        <w:jc w:val="both"/>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896A"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48448516" w14:textId="77777777" w:rsidTr="00EE2F54">
      <w:trPr>
        <w:trHeight w:val="1131"/>
      </w:trPr>
      <w:tc>
        <w:tcPr>
          <w:tcW w:w="4253" w:type="dxa"/>
          <w:shd w:val="clear" w:color="auto" w:fill="auto"/>
        </w:tcPr>
        <w:p w14:paraId="432B8AB7" w14:textId="12F3F63B" w:rsidR="00696582" w:rsidRDefault="00EE2F54" w:rsidP="001447C1">
          <w:pPr>
            <w:pStyle w:val="Encabezado"/>
          </w:pPr>
          <w:r>
            <w:rPr>
              <w:noProof/>
              <w:lang w:val="es-CO" w:eastAsia="es-CO"/>
            </w:rPr>
            <w:drawing>
              <wp:anchor distT="0" distB="0" distL="114300" distR="114300" simplePos="0" relativeHeight="251662336" behindDoc="0" locked="0" layoutInCell="1" allowOverlap="1" wp14:anchorId="33B58A6A" wp14:editId="77A5D32E">
                <wp:simplePos x="0" y="0"/>
                <wp:positionH relativeFrom="page">
                  <wp:posOffset>10795</wp:posOffset>
                </wp:positionH>
                <wp:positionV relativeFrom="paragraph">
                  <wp:posOffset>7620</wp:posOffset>
                </wp:positionV>
                <wp:extent cx="1494790" cy="714375"/>
                <wp:effectExtent l="0" t="0" r="0" b="0"/>
                <wp:wrapNone/>
                <wp:docPr id="7" name="Imagen 7"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987" t="2467" r="65649" b="88943"/>
                        <a:stretch/>
                      </pic:blipFill>
                      <pic:spPr bwMode="auto">
                        <a:xfrm>
                          <a:off x="0" y="0"/>
                          <a:ext cx="149479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4384" behindDoc="0" locked="0" layoutInCell="1" allowOverlap="1" wp14:anchorId="7EE389B1" wp14:editId="75BFA200">
                <wp:simplePos x="0" y="0"/>
                <wp:positionH relativeFrom="page">
                  <wp:posOffset>1477645</wp:posOffset>
                </wp:positionH>
                <wp:positionV relativeFrom="paragraph">
                  <wp:posOffset>198120</wp:posOffset>
                </wp:positionV>
                <wp:extent cx="1210310" cy="516890"/>
                <wp:effectExtent l="0" t="0" r="0" b="0"/>
                <wp:wrapNone/>
                <wp:docPr id="8" name="Imagen 8"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 negro con letras blanca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72343" t="4361" r="12573" b="90660"/>
                        <a:stretch>
                          <a:fillRect/>
                        </a:stretch>
                      </pic:blipFill>
                      <pic:spPr bwMode="auto">
                        <a:xfrm>
                          <a:off x="0" y="0"/>
                          <a:ext cx="121031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5" w:type="dxa"/>
          <w:shd w:val="clear" w:color="auto" w:fill="auto"/>
          <w:vAlign w:val="center"/>
        </w:tcPr>
        <w:p w14:paraId="787554D6"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07B273D6"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5B5262B2" w14:textId="77777777" w:rsidTr="00EE2F54">
      <w:trPr>
        <w:trHeight w:val="1131"/>
      </w:trPr>
      <w:tc>
        <w:tcPr>
          <w:tcW w:w="4253" w:type="dxa"/>
          <w:shd w:val="clear" w:color="auto" w:fill="auto"/>
        </w:tcPr>
        <w:p w14:paraId="16A3EFF1" w14:textId="66EBA210" w:rsidR="00350767" w:rsidRDefault="00EE2F54">
          <w:pPr>
            <w:pStyle w:val="Encabezado"/>
          </w:pPr>
          <w:r>
            <w:rPr>
              <w:noProof/>
              <w:lang w:val="es-CO" w:eastAsia="es-CO"/>
            </w:rPr>
            <w:drawing>
              <wp:anchor distT="0" distB="0" distL="114300" distR="114300" simplePos="0" relativeHeight="251658240" behindDoc="0" locked="0" layoutInCell="1" allowOverlap="1" wp14:anchorId="5B04717C" wp14:editId="25A634CD">
                <wp:simplePos x="0" y="0"/>
                <wp:positionH relativeFrom="page">
                  <wp:posOffset>1469390</wp:posOffset>
                </wp:positionH>
                <wp:positionV relativeFrom="paragraph">
                  <wp:posOffset>205740</wp:posOffset>
                </wp:positionV>
                <wp:extent cx="1210310" cy="516890"/>
                <wp:effectExtent l="0" t="0" r="0" b="0"/>
                <wp:wrapNone/>
                <wp:docPr id="6" name="Imagen 6"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 negro con letras blanca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72343" t="4361" r="12573" b="90660"/>
                        <a:stretch>
                          <a:fillRect/>
                        </a:stretch>
                      </pic:blipFill>
                      <pic:spPr bwMode="auto">
                        <a:xfrm>
                          <a:off x="0" y="0"/>
                          <a:ext cx="121031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5" w:type="dxa"/>
          <w:shd w:val="clear" w:color="auto" w:fill="auto"/>
          <w:vAlign w:val="center"/>
        </w:tcPr>
        <w:p w14:paraId="2A38AD0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02A12441" w14:textId="78B53A04" w:rsidR="00350767" w:rsidRDefault="00EE2F54">
    <w:pPr>
      <w:pStyle w:val="Encabezado"/>
    </w:pPr>
    <w:r>
      <w:rPr>
        <w:noProof/>
        <w:lang w:val="es-CO" w:eastAsia="es-CO"/>
      </w:rPr>
      <w:drawing>
        <wp:anchor distT="0" distB="0" distL="114300" distR="114300" simplePos="0" relativeHeight="251660288" behindDoc="0" locked="0" layoutInCell="1" allowOverlap="1" wp14:anchorId="6104F32D" wp14:editId="001DBB4D">
          <wp:simplePos x="0" y="0"/>
          <wp:positionH relativeFrom="page">
            <wp:posOffset>485590</wp:posOffset>
          </wp:positionH>
          <wp:positionV relativeFrom="paragraph">
            <wp:posOffset>-721201</wp:posOffset>
          </wp:positionV>
          <wp:extent cx="1494913" cy="714375"/>
          <wp:effectExtent l="0" t="0" r="0" b="0"/>
          <wp:wrapNone/>
          <wp:docPr id="3" name="Imagen 3"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987" t="2467" r="65649" b="88943"/>
                  <a:stretch/>
                </pic:blipFill>
                <pic:spPr bwMode="auto">
                  <a:xfrm>
                    <a:off x="0" y="0"/>
                    <a:ext cx="1494913"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644" w:hanging="360"/>
      </w:pPr>
      <w:rPr>
        <w:rFonts w:ascii="Symbol" w:hAnsi="Symbol" w:hint="default"/>
      </w:rPr>
    </w:lvl>
    <w:lvl w:ilvl="1" w:tplc="240A0003">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CA08B6"/>
    <w:multiLevelType w:val="multilevel"/>
    <w:tmpl w:val="611E368A"/>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8FC31DD"/>
    <w:multiLevelType w:val="hybridMultilevel"/>
    <w:tmpl w:val="4AAC07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4D6F5859"/>
    <w:multiLevelType w:val="hybridMultilevel"/>
    <w:tmpl w:val="7C149D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72238F"/>
    <w:multiLevelType w:val="hybridMultilevel"/>
    <w:tmpl w:val="7C9C0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9"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8"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9"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1"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5"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3653560"/>
    <w:multiLevelType w:val="multilevel"/>
    <w:tmpl w:val="0384429C"/>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493205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1770671">
    <w:abstractNumId w:val="9"/>
  </w:num>
  <w:num w:numId="3" w16cid:durableId="270599893">
    <w:abstractNumId w:val="41"/>
  </w:num>
  <w:num w:numId="4" w16cid:durableId="1718309552">
    <w:abstractNumId w:val="10"/>
  </w:num>
  <w:num w:numId="5" w16cid:durableId="1909605146">
    <w:abstractNumId w:val="18"/>
  </w:num>
  <w:num w:numId="6" w16cid:durableId="793015676">
    <w:abstractNumId w:val="35"/>
  </w:num>
  <w:num w:numId="7" w16cid:durableId="1932815252">
    <w:abstractNumId w:val="11"/>
  </w:num>
  <w:num w:numId="8" w16cid:durableId="329911296">
    <w:abstractNumId w:val="19"/>
  </w:num>
  <w:num w:numId="9" w16cid:durableId="1795756752">
    <w:abstractNumId w:val="8"/>
  </w:num>
  <w:num w:numId="10" w16cid:durableId="293099190">
    <w:abstractNumId w:val="23"/>
  </w:num>
  <w:num w:numId="11" w16cid:durableId="773522888">
    <w:abstractNumId w:val="15"/>
  </w:num>
  <w:num w:numId="12" w16cid:durableId="366031982">
    <w:abstractNumId w:val="36"/>
  </w:num>
  <w:num w:numId="13" w16cid:durableId="1032612118">
    <w:abstractNumId w:val="42"/>
  </w:num>
  <w:num w:numId="14" w16cid:durableId="50084184">
    <w:abstractNumId w:val="43"/>
  </w:num>
  <w:num w:numId="15" w16cid:durableId="29649069">
    <w:abstractNumId w:val="1"/>
  </w:num>
  <w:num w:numId="16" w16cid:durableId="1526137668">
    <w:abstractNumId w:val="24"/>
  </w:num>
  <w:num w:numId="17" w16cid:durableId="290984210">
    <w:abstractNumId w:val="5"/>
  </w:num>
  <w:num w:numId="18" w16cid:durableId="578251226">
    <w:abstractNumId w:val="28"/>
  </w:num>
  <w:num w:numId="19" w16cid:durableId="421295927">
    <w:abstractNumId w:val="31"/>
  </w:num>
  <w:num w:numId="20" w16cid:durableId="1993752369">
    <w:abstractNumId w:val="0"/>
  </w:num>
  <w:num w:numId="21" w16cid:durableId="683945141">
    <w:abstractNumId w:val="12"/>
  </w:num>
  <w:num w:numId="22" w16cid:durableId="1305816537">
    <w:abstractNumId w:val="21"/>
  </w:num>
  <w:num w:numId="23" w16cid:durableId="11205375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5192083">
    <w:abstractNumId w:val="40"/>
  </w:num>
  <w:num w:numId="25" w16cid:durableId="435449110">
    <w:abstractNumId w:val="13"/>
  </w:num>
  <w:num w:numId="26" w16cid:durableId="1503352143">
    <w:abstractNumId w:val="33"/>
  </w:num>
  <w:num w:numId="27" w16cid:durableId="742872262">
    <w:abstractNumId w:val="30"/>
  </w:num>
  <w:num w:numId="28" w16cid:durableId="1539589577">
    <w:abstractNumId w:val="44"/>
  </w:num>
  <w:num w:numId="29" w16cid:durableId="2075811117">
    <w:abstractNumId w:val="1"/>
  </w:num>
  <w:num w:numId="30" w16cid:durableId="410741007">
    <w:abstractNumId w:val="47"/>
  </w:num>
  <w:num w:numId="31" w16cid:durableId="719481166">
    <w:abstractNumId w:val="26"/>
  </w:num>
  <w:num w:numId="32" w16cid:durableId="79059669">
    <w:abstractNumId w:val="39"/>
  </w:num>
  <w:num w:numId="33" w16cid:durableId="1728995761">
    <w:abstractNumId w:val="29"/>
  </w:num>
  <w:num w:numId="34" w16cid:durableId="1621305466">
    <w:abstractNumId w:val="38"/>
  </w:num>
  <w:num w:numId="35" w16cid:durableId="1028023810">
    <w:abstractNumId w:val="16"/>
  </w:num>
  <w:num w:numId="36" w16cid:durableId="306203552">
    <w:abstractNumId w:val="6"/>
  </w:num>
  <w:num w:numId="37" w16cid:durableId="681317984">
    <w:abstractNumId w:val="2"/>
  </w:num>
  <w:num w:numId="38" w16cid:durableId="1393698302">
    <w:abstractNumId w:val="32"/>
  </w:num>
  <w:num w:numId="39" w16cid:durableId="1646659655">
    <w:abstractNumId w:val="37"/>
  </w:num>
  <w:num w:numId="40" w16cid:durableId="159349661">
    <w:abstractNumId w:val="17"/>
  </w:num>
  <w:num w:numId="41" w16cid:durableId="244994779">
    <w:abstractNumId w:val="45"/>
  </w:num>
  <w:num w:numId="42" w16cid:durableId="1947303625">
    <w:abstractNumId w:val="20"/>
  </w:num>
  <w:num w:numId="43" w16cid:durableId="2003317711">
    <w:abstractNumId w:val="4"/>
  </w:num>
  <w:num w:numId="44" w16cid:durableId="227693680">
    <w:abstractNumId w:val="14"/>
  </w:num>
  <w:num w:numId="45" w16cid:durableId="1080832551">
    <w:abstractNumId w:val="22"/>
  </w:num>
  <w:num w:numId="46" w16cid:durableId="1914118424">
    <w:abstractNumId w:val="3"/>
  </w:num>
  <w:num w:numId="47" w16cid:durableId="688139437">
    <w:abstractNumId w:val="7"/>
  </w:num>
  <w:num w:numId="48" w16cid:durableId="491680997">
    <w:abstractNumId w:val="46"/>
  </w:num>
  <w:num w:numId="49" w16cid:durableId="1992103216">
    <w:abstractNumId w:val="27"/>
  </w:num>
  <w:num w:numId="50" w16cid:durableId="20712205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80"/>
    <w:rsid w:val="00001D05"/>
    <w:rsid w:val="00003D24"/>
    <w:rsid w:val="00006F83"/>
    <w:rsid w:val="00007F07"/>
    <w:rsid w:val="00013C42"/>
    <w:rsid w:val="00014D67"/>
    <w:rsid w:val="00015699"/>
    <w:rsid w:val="00016A94"/>
    <w:rsid w:val="00021FCC"/>
    <w:rsid w:val="00022C96"/>
    <w:rsid w:val="00024F34"/>
    <w:rsid w:val="0002546A"/>
    <w:rsid w:val="00032CBF"/>
    <w:rsid w:val="0004205E"/>
    <w:rsid w:val="000447ED"/>
    <w:rsid w:val="00047A6E"/>
    <w:rsid w:val="00050524"/>
    <w:rsid w:val="0005155D"/>
    <w:rsid w:val="00066463"/>
    <w:rsid w:val="00070A27"/>
    <w:rsid w:val="00074F70"/>
    <w:rsid w:val="000762FE"/>
    <w:rsid w:val="0007636F"/>
    <w:rsid w:val="00081CEE"/>
    <w:rsid w:val="00084B49"/>
    <w:rsid w:val="00086B16"/>
    <w:rsid w:val="00092C0A"/>
    <w:rsid w:val="00094D9F"/>
    <w:rsid w:val="000A35DA"/>
    <w:rsid w:val="000A3E34"/>
    <w:rsid w:val="000B30A6"/>
    <w:rsid w:val="000B39C5"/>
    <w:rsid w:val="000B50F1"/>
    <w:rsid w:val="000B5179"/>
    <w:rsid w:val="000B65B5"/>
    <w:rsid w:val="000C3FE3"/>
    <w:rsid w:val="000C41BE"/>
    <w:rsid w:val="000C5964"/>
    <w:rsid w:val="000C614C"/>
    <w:rsid w:val="000C6C52"/>
    <w:rsid w:val="000D1904"/>
    <w:rsid w:val="000D2DA8"/>
    <w:rsid w:val="000D512E"/>
    <w:rsid w:val="000D7648"/>
    <w:rsid w:val="000E0152"/>
    <w:rsid w:val="000E370D"/>
    <w:rsid w:val="000E65A4"/>
    <w:rsid w:val="000F198B"/>
    <w:rsid w:val="000F1E55"/>
    <w:rsid w:val="00105533"/>
    <w:rsid w:val="001072FB"/>
    <w:rsid w:val="00116659"/>
    <w:rsid w:val="001175AA"/>
    <w:rsid w:val="00125A3A"/>
    <w:rsid w:val="00126916"/>
    <w:rsid w:val="00126980"/>
    <w:rsid w:val="001303DD"/>
    <w:rsid w:val="001348DA"/>
    <w:rsid w:val="001349E1"/>
    <w:rsid w:val="001365B5"/>
    <w:rsid w:val="00136CD0"/>
    <w:rsid w:val="0013737F"/>
    <w:rsid w:val="00142BF2"/>
    <w:rsid w:val="001447C1"/>
    <w:rsid w:val="00145BCA"/>
    <w:rsid w:val="00150C81"/>
    <w:rsid w:val="0015216F"/>
    <w:rsid w:val="00153523"/>
    <w:rsid w:val="00156DE5"/>
    <w:rsid w:val="00157729"/>
    <w:rsid w:val="00157D17"/>
    <w:rsid w:val="00164587"/>
    <w:rsid w:val="001665A3"/>
    <w:rsid w:val="001743EF"/>
    <w:rsid w:val="00174A31"/>
    <w:rsid w:val="00175392"/>
    <w:rsid w:val="00177232"/>
    <w:rsid w:val="00177ED9"/>
    <w:rsid w:val="00187186"/>
    <w:rsid w:val="00193F1A"/>
    <w:rsid w:val="001978EB"/>
    <w:rsid w:val="001A0824"/>
    <w:rsid w:val="001A2AF1"/>
    <w:rsid w:val="001A6369"/>
    <w:rsid w:val="001C013E"/>
    <w:rsid w:val="001C2BBD"/>
    <w:rsid w:val="001D1743"/>
    <w:rsid w:val="001D17CF"/>
    <w:rsid w:val="001D7177"/>
    <w:rsid w:val="001E2543"/>
    <w:rsid w:val="001E6C60"/>
    <w:rsid w:val="001F238A"/>
    <w:rsid w:val="002171A2"/>
    <w:rsid w:val="002217D1"/>
    <w:rsid w:val="002264B8"/>
    <w:rsid w:val="00235361"/>
    <w:rsid w:val="00236F62"/>
    <w:rsid w:val="00237D76"/>
    <w:rsid w:val="00251FCE"/>
    <w:rsid w:val="00252F13"/>
    <w:rsid w:val="00254313"/>
    <w:rsid w:val="0026513E"/>
    <w:rsid w:val="002729A5"/>
    <w:rsid w:val="002862C1"/>
    <w:rsid w:val="00286449"/>
    <w:rsid w:val="00287EC3"/>
    <w:rsid w:val="00293F29"/>
    <w:rsid w:val="002941D1"/>
    <w:rsid w:val="002A2A12"/>
    <w:rsid w:val="002C05D0"/>
    <w:rsid w:val="002C1B39"/>
    <w:rsid w:val="002C6429"/>
    <w:rsid w:val="002D096D"/>
    <w:rsid w:val="002D11FE"/>
    <w:rsid w:val="002D2CB2"/>
    <w:rsid w:val="002D35EC"/>
    <w:rsid w:val="002D3FE3"/>
    <w:rsid w:val="002D5E8B"/>
    <w:rsid w:val="002E4A97"/>
    <w:rsid w:val="002E71C4"/>
    <w:rsid w:val="002F226A"/>
    <w:rsid w:val="00301DC2"/>
    <w:rsid w:val="003227FD"/>
    <w:rsid w:val="00325A55"/>
    <w:rsid w:val="00332D91"/>
    <w:rsid w:val="003343DB"/>
    <w:rsid w:val="00334BCA"/>
    <w:rsid w:val="00336655"/>
    <w:rsid w:val="00340CEA"/>
    <w:rsid w:val="00342B3C"/>
    <w:rsid w:val="00346554"/>
    <w:rsid w:val="003503EB"/>
    <w:rsid w:val="00350767"/>
    <w:rsid w:val="00350E4B"/>
    <w:rsid w:val="003533A1"/>
    <w:rsid w:val="003651DE"/>
    <w:rsid w:val="00367CB8"/>
    <w:rsid w:val="003711C0"/>
    <w:rsid w:val="00373197"/>
    <w:rsid w:val="0038390A"/>
    <w:rsid w:val="00383AA8"/>
    <w:rsid w:val="003A0BBF"/>
    <w:rsid w:val="003A3C08"/>
    <w:rsid w:val="003A6449"/>
    <w:rsid w:val="003A73D2"/>
    <w:rsid w:val="003B3586"/>
    <w:rsid w:val="003B3F46"/>
    <w:rsid w:val="003B447F"/>
    <w:rsid w:val="003B4DDE"/>
    <w:rsid w:val="003B625C"/>
    <w:rsid w:val="003C0C28"/>
    <w:rsid w:val="003C0F32"/>
    <w:rsid w:val="003C12E0"/>
    <w:rsid w:val="003C4960"/>
    <w:rsid w:val="003C6CAC"/>
    <w:rsid w:val="003D3516"/>
    <w:rsid w:val="003E1394"/>
    <w:rsid w:val="003E582F"/>
    <w:rsid w:val="003F4308"/>
    <w:rsid w:val="003F5F77"/>
    <w:rsid w:val="00401B59"/>
    <w:rsid w:val="00405CE5"/>
    <w:rsid w:val="00407A7D"/>
    <w:rsid w:val="0041604F"/>
    <w:rsid w:val="00427DD9"/>
    <w:rsid w:val="004317DB"/>
    <w:rsid w:val="00432C5C"/>
    <w:rsid w:val="00437C19"/>
    <w:rsid w:val="00453C40"/>
    <w:rsid w:val="0045516B"/>
    <w:rsid w:val="00461D1F"/>
    <w:rsid w:val="00470148"/>
    <w:rsid w:val="00470526"/>
    <w:rsid w:val="00474CA7"/>
    <w:rsid w:val="004848A4"/>
    <w:rsid w:val="00486F54"/>
    <w:rsid w:val="00487E4F"/>
    <w:rsid w:val="00490F5F"/>
    <w:rsid w:val="004A0755"/>
    <w:rsid w:val="004A6BE3"/>
    <w:rsid w:val="004A739E"/>
    <w:rsid w:val="004B078F"/>
    <w:rsid w:val="004B3B4A"/>
    <w:rsid w:val="004C4371"/>
    <w:rsid w:val="004C7D38"/>
    <w:rsid w:val="004D0D86"/>
    <w:rsid w:val="004D10C6"/>
    <w:rsid w:val="004D2643"/>
    <w:rsid w:val="004D294E"/>
    <w:rsid w:val="004D3A27"/>
    <w:rsid w:val="004D3D03"/>
    <w:rsid w:val="004D4586"/>
    <w:rsid w:val="004D6317"/>
    <w:rsid w:val="004D6329"/>
    <w:rsid w:val="004E034B"/>
    <w:rsid w:val="004E17FC"/>
    <w:rsid w:val="004E274E"/>
    <w:rsid w:val="004E517F"/>
    <w:rsid w:val="004F778E"/>
    <w:rsid w:val="004F7A38"/>
    <w:rsid w:val="0050029E"/>
    <w:rsid w:val="0050148F"/>
    <w:rsid w:val="00502F91"/>
    <w:rsid w:val="005066E1"/>
    <w:rsid w:val="00520AAA"/>
    <w:rsid w:val="00520B2A"/>
    <w:rsid w:val="00527063"/>
    <w:rsid w:val="00532ED0"/>
    <w:rsid w:val="005338E4"/>
    <w:rsid w:val="00541BA2"/>
    <w:rsid w:val="0054286C"/>
    <w:rsid w:val="00543E5A"/>
    <w:rsid w:val="00545A32"/>
    <w:rsid w:val="0054645F"/>
    <w:rsid w:val="00550D05"/>
    <w:rsid w:val="005616ED"/>
    <w:rsid w:val="005629D0"/>
    <w:rsid w:val="00564A4E"/>
    <w:rsid w:val="005815B6"/>
    <w:rsid w:val="00584E85"/>
    <w:rsid w:val="005871DA"/>
    <w:rsid w:val="00587695"/>
    <w:rsid w:val="0059054D"/>
    <w:rsid w:val="0059316B"/>
    <w:rsid w:val="005949A8"/>
    <w:rsid w:val="005A077D"/>
    <w:rsid w:val="005A4320"/>
    <w:rsid w:val="005A498D"/>
    <w:rsid w:val="005C19CA"/>
    <w:rsid w:val="005C4522"/>
    <w:rsid w:val="005D49BF"/>
    <w:rsid w:val="005E1BFC"/>
    <w:rsid w:val="005F30C3"/>
    <w:rsid w:val="005F6E47"/>
    <w:rsid w:val="005F7863"/>
    <w:rsid w:val="0060353B"/>
    <w:rsid w:val="0061489A"/>
    <w:rsid w:val="00620876"/>
    <w:rsid w:val="00624FD0"/>
    <w:rsid w:val="00630C5E"/>
    <w:rsid w:val="006315B4"/>
    <w:rsid w:val="00635AC3"/>
    <w:rsid w:val="00636FFB"/>
    <w:rsid w:val="00651107"/>
    <w:rsid w:val="00654CCF"/>
    <w:rsid w:val="00665F82"/>
    <w:rsid w:val="00667C4C"/>
    <w:rsid w:val="0067186C"/>
    <w:rsid w:val="00671E11"/>
    <w:rsid w:val="00677684"/>
    <w:rsid w:val="006779DA"/>
    <w:rsid w:val="00687EB3"/>
    <w:rsid w:val="00691851"/>
    <w:rsid w:val="00692980"/>
    <w:rsid w:val="00693246"/>
    <w:rsid w:val="0069506F"/>
    <w:rsid w:val="00696582"/>
    <w:rsid w:val="006A1DBB"/>
    <w:rsid w:val="006B4E40"/>
    <w:rsid w:val="006C103A"/>
    <w:rsid w:val="006C4E6A"/>
    <w:rsid w:val="006C50E8"/>
    <w:rsid w:val="006D28E2"/>
    <w:rsid w:val="006D464D"/>
    <w:rsid w:val="006E6F11"/>
    <w:rsid w:val="006F0B6B"/>
    <w:rsid w:val="006F144D"/>
    <w:rsid w:val="006F461B"/>
    <w:rsid w:val="006F622C"/>
    <w:rsid w:val="00700FF6"/>
    <w:rsid w:val="0070160F"/>
    <w:rsid w:val="00704D44"/>
    <w:rsid w:val="00707176"/>
    <w:rsid w:val="007158F7"/>
    <w:rsid w:val="00715A68"/>
    <w:rsid w:val="00715DD5"/>
    <w:rsid w:val="00715ECF"/>
    <w:rsid w:val="00717A04"/>
    <w:rsid w:val="00717BFE"/>
    <w:rsid w:val="007208C5"/>
    <w:rsid w:val="00725BB4"/>
    <w:rsid w:val="0073180A"/>
    <w:rsid w:val="00732997"/>
    <w:rsid w:val="00732E86"/>
    <w:rsid w:val="007336C3"/>
    <w:rsid w:val="00735033"/>
    <w:rsid w:val="00745447"/>
    <w:rsid w:val="00746B1C"/>
    <w:rsid w:val="00756485"/>
    <w:rsid w:val="0075705D"/>
    <w:rsid w:val="007626E1"/>
    <w:rsid w:val="00767F65"/>
    <w:rsid w:val="0077029B"/>
    <w:rsid w:val="00770D6C"/>
    <w:rsid w:val="007732E8"/>
    <w:rsid w:val="00783515"/>
    <w:rsid w:val="00787C94"/>
    <w:rsid w:val="00791BCB"/>
    <w:rsid w:val="007921BD"/>
    <w:rsid w:val="00793A02"/>
    <w:rsid w:val="00795C6B"/>
    <w:rsid w:val="007A1566"/>
    <w:rsid w:val="007A3995"/>
    <w:rsid w:val="007A5AC5"/>
    <w:rsid w:val="007B622D"/>
    <w:rsid w:val="007C4288"/>
    <w:rsid w:val="007C484E"/>
    <w:rsid w:val="007D4853"/>
    <w:rsid w:val="007D57C4"/>
    <w:rsid w:val="007E0429"/>
    <w:rsid w:val="007E41DE"/>
    <w:rsid w:val="007E4CE3"/>
    <w:rsid w:val="007F2250"/>
    <w:rsid w:val="007F2B1F"/>
    <w:rsid w:val="00802F7A"/>
    <w:rsid w:val="008069F5"/>
    <w:rsid w:val="00806A1C"/>
    <w:rsid w:val="0080773A"/>
    <w:rsid w:val="008173F3"/>
    <w:rsid w:val="0082052C"/>
    <w:rsid w:val="0082117C"/>
    <w:rsid w:val="008227E9"/>
    <w:rsid w:val="008252C5"/>
    <w:rsid w:val="00831860"/>
    <w:rsid w:val="00832F2D"/>
    <w:rsid w:val="00836C6A"/>
    <w:rsid w:val="00841C9F"/>
    <w:rsid w:val="0084294E"/>
    <w:rsid w:val="00843EFF"/>
    <w:rsid w:val="008442A5"/>
    <w:rsid w:val="00844ED2"/>
    <w:rsid w:val="008477A9"/>
    <w:rsid w:val="0085416A"/>
    <w:rsid w:val="00856B0F"/>
    <w:rsid w:val="0087186A"/>
    <w:rsid w:val="00872C56"/>
    <w:rsid w:val="00872C95"/>
    <w:rsid w:val="00874F67"/>
    <w:rsid w:val="00876AC2"/>
    <w:rsid w:val="00883F43"/>
    <w:rsid w:val="00884C98"/>
    <w:rsid w:val="00884CE2"/>
    <w:rsid w:val="00885E7D"/>
    <w:rsid w:val="0089363F"/>
    <w:rsid w:val="00894D05"/>
    <w:rsid w:val="00896ED8"/>
    <w:rsid w:val="008A209D"/>
    <w:rsid w:val="008A2436"/>
    <w:rsid w:val="008A4E8C"/>
    <w:rsid w:val="008A563D"/>
    <w:rsid w:val="008B3B0A"/>
    <w:rsid w:val="008C2B27"/>
    <w:rsid w:val="008C2BA0"/>
    <w:rsid w:val="008C69F2"/>
    <w:rsid w:val="008D028E"/>
    <w:rsid w:val="008D1911"/>
    <w:rsid w:val="008D3E6C"/>
    <w:rsid w:val="008D4593"/>
    <w:rsid w:val="008E04EC"/>
    <w:rsid w:val="008E43F4"/>
    <w:rsid w:val="008F05DB"/>
    <w:rsid w:val="008F42F6"/>
    <w:rsid w:val="008F5282"/>
    <w:rsid w:val="008F55D6"/>
    <w:rsid w:val="008F6680"/>
    <w:rsid w:val="00904D9E"/>
    <w:rsid w:val="00912BAC"/>
    <w:rsid w:val="009174C9"/>
    <w:rsid w:val="00925058"/>
    <w:rsid w:val="00926CDB"/>
    <w:rsid w:val="00926DE3"/>
    <w:rsid w:val="00930113"/>
    <w:rsid w:val="00932D02"/>
    <w:rsid w:val="009356EC"/>
    <w:rsid w:val="00937FB2"/>
    <w:rsid w:val="0094114F"/>
    <w:rsid w:val="00952DC3"/>
    <w:rsid w:val="00953BBD"/>
    <w:rsid w:val="0095690D"/>
    <w:rsid w:val="0095739F"/>
    <w:rsid w:val="009609C5"/>
    <w:rsid w:val="00963008"/>
    <w:rsid w:val="00965B1A"/>
    <w:rsid w:val="00966CD2"/>
    <w:rsid w:val="00971B57"/>
    <w:rsid w:val="00976933"/>
    <w:rsid w:val="00981893"/>
    <w:rsid w:val="00984974"/>
    <w:rsid w:val="00986438"/>
    <w:rsid w:val="00987DBF"/>
    <w:rsid w:val="00994D52"/>
    <w:rsid w:val="009970F9"/>
    <w:rsid w:val="009A4701"/>
    <w:rsid w:val="009A5590"/>
    <w:rsid w:val="009B291C"/>
    <w:rsid w:val="009C312C"/>
    <w:rsid w:val="009C3837"/>
    <w:rsid w:val="009C44BD"/>
    <w:rsid w:val="009C537F"/>
    <w:rsid w:val="009D0585"/>
    <w:rsid w:val="009D2BB3"/>
    <w:rsid w:val="009E0846"/>
    <w:rsid w:val="009E1EF4"/>
    <w:rsid w:val="009E1F32"/>
    <w:rsid w:val="009E4BD5"/>
    <w:rsid w:val="009F1BE0"/>
    <w:rsid w:val="009F7CED"/>
    <w:rsid w:val="00A04569"/>
    <w:rsid w:val="00A0736A"/>
    <w:rsid w:val="00A07DE7"/>
    <w:rsid w:val="00A1301A"/>
    <w:rsid w:val="00A14C37"/>
    <w:rsid w:val="00A161B9"/>
    <w:rsid w:val="00A219D7"/>
    <w:rsid w:val="00A277FB"/>
    <w:rsid w:val="00A2785C"/>
    <w:rsid w:val="00A27F04"/>
    <w:rsid w:val="00A31820"/>
    <w:rsid w:val="00A33DCF"/>
    <w:rsid w:val="00A377FE"/>
    <w:rsid w:val="00A4128C"/>
    <w:rsid w:val="00A41AEF"/>
    <w:rsid w:val="00A447B3"/>
    <w:rsid w:val="00A500DD"/>
    <w:rsid w:val="00A52C3F"/>
    <w:rsid w:val="00A55DB6"/>
    <w:rsid w:val="00A61784"/>
    <w:rsid w:val="00A623FC"/>
    <w:rsid w:val="00A64120"/>
    <w:rsid w:val="00A72973"/>
    <w:rsid w:val="00A74AFD"/>
    <w:rsid w:val="00A80613"/>
    <w:rsid w:val="00A83A98"/>
    <w:rsid w:val="00A85188"/>
    <w:rsid w:val="00A85AEA"/>
    <w:rsid w:val="00A94019"/>
    <w:rsid w:val="00AA28E8"/>
    <w:rsid w:val="00AB0708"/>
    <w:rsid w:val="00AB0C45"/>
    <w:rsid w:val="00AB6652"/>
    <w:rsid w:val="00AC1AF8"/>
    <w:rsid w:val="00AC447D"/>
    <w:rsid w:val="00AD1B17"/>
    <w:rsid w:val="00AD5446"/>
    <w:rsid w:val="00AD5F67"/>
    <w:rsid w:val="00AD623F"/>
    <w:rsid w:val="00AE03F3"/>
    <w:rsid w:val="00AF5E71"/>
    <w:rsid w:val="00B01939"/>
    <w:rsid w:val="00B13AE3"/>
    <w:rsid w:val="00B25550"/>
    <w:rsid w:val="00B30DCD"/>
    <w:rsid w:val="00B377D3"/>
    <w:rsid w:val="00B4178F"/>
    <w:rsid w:val="00B4216E"/>
    <w:rsid w:val="00B448DC"/>
    <w:rsid w:val="00B463AC"/>
    <w:rsid w:val="00B51095"/>
    <w:rsid w:val="00B6123C"/>
    <w:rsid w:val="00B61CA6"/>
    <w:rsid w:val="00B641B3"/>
    <w:rsid w:val="00B65F1B"/>
    <w:rsid w:val="00B66D03"/>
    <w:rsid w:val="00B7000F"/>
    <w:rsid w:val="00B729FC"/>
    <w:rsid w:val="00B73EC6"/>
    <w:rsid w:val="00B766E4"/>
    <w:rsid w:val="00B8326D"/>
    <w:rsid w:val="00B84AF8"/>
    <w:rsid w:val="00B937B6"/>
    <w:rsid w:val="00BA450F"/>
    <w:rsid w:val="00BA6E79"/>
    <w:rsid w:val="00BB545F"/>
    <w:rsid w:val="00BD256B"/>
    <w:rsid w:val="00BD4B65"/>
    <w:rsid w:val="00BD5459"/>
    <w:rsid w:val="00BE280C"/>
    <w:rsid w:val="00BE5550"/>
    <w:rsid w:val="00BF054E"/>
    <w:rsid w:val="00BF0DB9"/>
    <w:rsid w:val="00BF6D82"/>
    <w:rsid w:val="00C0650B"/>
    <w:rsid w:val="00C1196D"/>
    <w:rsid w:val="00C12B93"/>
    <w:rsid w:val="00C134C3"/>
    <w:rsid w:val="00C26C14"/>
    <w:rsid w:val="00C27D76"/>
    <w:rsid w:val="00C31D59"/>
    <w:rsid w:val="00C36892"/>
    <w:rsid w:val="00C4009A"/>
    <w:rsid w:val="00C401C2"/>
    <w:rsid w:val="00C40FDF"/>
    <w:rsid w:val="00C46330"/>
    <w:rsid w:val="00C47F73"/>
    <w:rsid w:val="00C52E86"/>
    <w:rsid w:val="00C6077B"/>
    <w:rsid w:val="00C61441"/>
    <w:rsid w:val="00C7145D"/>
    <w:rsid w:val="00C7294E"/>
    <w:rsid w:val="00C81C86"/>
    <w:rsid w:val="00C91E92"/>
    <w:rsid w:val="00C91F90"/>
    <w:rsid w:val="00C970EC"/>
    <w:rsid w:val="00CA57DF"/>
    <w:rsid w:val="00CB0063"/>
    <w:rsid w:val="00CB4D37"/>
    <w:rsid w:val="00CB66F7"/>
    <w:rsid w:val="00CC0C62"/>
    <w:rsid w:val="00CC259C"/>
    <w:rsid w:val="00CC42D1"/>
    <w:rsid w:val="00CC5B3E"/>
    <w:rsid w:val="00CD280D"/>
    <w:rsid w:val="00CD63C0"/>
    <w:rsid w:val="00CE1A87"/>
    <w:rsid w:val="00CF25EF"/>
    <w:rsid w:val="00CF55BA"/>
    <w:rsid w:val="00D031D1"/>
    <w:rsid w:val="00D04A96"/>
    <w:rsid w:val="00D05B67"/>
    <w:rsid w:val="00D05D52"/>
    <w:rsid w:val="00D222AE"/>
    <w:rsid w:val="00D23F7A"/>
    <w:rsid w:val="00D24980"/>
    <w:rsid w:val="00D26D53"/>
    <w:rsid w:val="00D31F43"/>
    <w:rsid w:val="00D32BA6"/>
    <w:rsid w:val="00D40E59"/>
    <w:rsid w:val="00D415E6"/>
    <w:rsid w:val="00D44358"/>
    <w:rsid w:val="00D444C5"/>
    <w:rsid w:val="00D44D9B"/>
    <w:rsid w:val="00D475AD"/>
    <w:rsid w:val="00D530DC"/>
    <w:rsid w:val="00D62023"/>
    <w:rsid w:val="00D63A03"/>
    <w:rsid w:val="00D7070F"/>
    <w:rsid w:val="00D709DD"/>
    <w:rsid w:val="00D8294A"/>
    <w:rsid w:val="00D83F98"/>
    <w:rsid w:val="00D84A75"/>
    <w:rsid w:val="00D85F90"/>
    <w:rsid w:val="00D90649"/>
    <w:rsid w:val="00D91E89"/>
    <w:rsid w:val="00D9213D"/>
    <w:rsid w:val="00D965B1"/>
    <w:rsid w:val="00D97DF9"/>
    <w:rsid w:val="00DA6526"/>
    <w:rsid w:val="00DA6C54"/>
    <w:rsid w:val="00DC2968"/>
    <w:rsid w:val="00DC54A3"/>
    <w:rsid w:val="00DD181C"/>
    <w:rsid w:val="00DD2F2C"/>
    <w:rsid w:val="00DD48D9"/>
    <w:rsid w:val="00DD72D6"/>
    <w:rsid w:val="00DE1540"/>
    <w:rsid w:val="00DE520C"/>
    <w:rsid w:val="00DF1E66"/>
    <w:rsid w:val="00DF60FD"/>
    <w:rsid w:val="00DF6410"/>
    <w:rsid w:val="00E007F7"/>
    <w:rsid w:val="00E04C35"/>
    <w:rsid w:val="00E05F18"/>
    <w:rsid w:val="00E06A27"/>
    <w:rsid w:val="00E10454"/>
    <w:rsid w:val="00E12202"/>
    <w:rsid w:val="00E242C5"/>
    <w:rsid w:val="00E24673"/>
    <w:rsid w:val="00E24F26"/>
    <w:rsid w:val="00E261B4"/>
    <w:rsid w:val="00E31E85"/>
    <w:rsid w:val="00E407FF"/>
    <w:rsid w:val="00E40C34"/>
    <w:rsid w:val="00E41E2C"/>
    <w:rsid w:val="00E44207"/>
    <w:rsid w:val="00E45FEF"/>
    <w:rsid w:val="00E66C57"/>
    <w:rsid w:val="00E66D00"/>
    <w:rsid w:val="00E7224C"/>
    <w:rsid w:val="00E729F2"/>
    <w:rsid w:val="00E74C0E"/>
    <w:rsid w:val="00E75DBD"/>
    <w:rsid w:val="00E805D3"/>
    <w:rsid w:val="00E80826"/>
    <w:rsid w:val="00E84DA1"/>
    <w:rsid w:val="00E86B92"/>
    <w:rsid w:val="00E91332"/>
    <w:rsid w:val="00E91C8C"/>
    <w:rsid w:val="00EA3045"/>
    <w:rsid w:val="00EC1DE8"/>
    <w:rsid w:val="00EC35AE"/>
    <w:rsid w:val="00ED4708"/>
    <w:rsid w:val="00EE0D69"/>
    <w:rsid w:val="00EE0F26"/>
    <w:rsid w:val="00EE2ABB"/>
    <w:rsid w:val="00EE2F54"/>
    <w:rsid w:val="00EF192B"/>
    <w:rsid w:val="00F06B8A"/>
    <w:rsid w:val="00F07A7D"/>
    <w:rsid w:val="00F153C1"/>
    <w:rsid w:val="00F16839"/>
    <w:rsid w:val="00F20FF6"/>
    <w:rsid w:val="00F211E7"/>
    <w:rsid w:val="00F21D37"/>
    <w:rsid w:val="00F221F0"/>
    <w:rsid w:val="00F26136"/>
    <w:rsid w:val="00F2713B"/>
    <w:rsid w:val="00F305D8"/>
    <w:rsid w:val="00F351D9"/>
    <w:rsid w:val="00F37106"/>
    <w:rsid w:val="00F44A2E"/>
    <w:rsid w:val="00F47D57"/>
    <w:rsid w:val="00F55DC4"/>
    <w:rsid w:val="00F576B3"/>
    <w:rsid w:val="00F644C2"/>
    <w:rsid w:val="00F745E1"/>
    <w:rsid w:val="00F75A79"/>
    <w:rsid w:val="00F7620E"/>
    <w:rsid w:val="00F775AD"/>
    <w:rsid w:val="00F80E07"/>
    <w:rsid w:val="00F822F3"/>
    <w:rsid w:val="00F90326"/>
    <w:rsid w:val="00F90F86"/>
    <w:rsid w:val="00F92DF0"/>
    <w:rsid w:val="00F933E0"/>
    <w:rsid w:val="00FA0454"/>
    <w:rsid w:val="00FA4A9E"/>
    <w:rsid w:val="00FB0936"/>
    <w:rsid w:val="00FB1248"/>
    <w:rsid w:val="00FB217D"/>
    <w:rsid w:val="00FB29CC"/>
    <w:rsid w:val="00FC0522"/>
    <w:rsid w:val="00FC2DE3"/>
    <w:rsid w:val="00FD1FD8"/>
    <w:rsid w:val="00FD3D04"/>
    <w:rsid w:val="00FD49A0"/>
    <w:rsid w:val="00FD72E8"/>
    <w:rsid w:val="00FD730A"/>
    <w:rsid w:val="00FE27DE"/>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EBAD2"/>
  <w15:chartTrackingRefBased/>
  <w15:docId w15:val="{49E2ABB7-65AD-4DD1-8B76-9A1ACD8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C96"/>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link w:val="EncabezadoCar"/>
    <w:uiPriority w:val="99"/>
    <w:qFormat/>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022C96"/>
    <w:rPr>
      <w:rFonts w:ascii="Arial" w:hAnsi="Arial"/>
      <w:b/>
      <w:lang w:val="es-ES" w:eastAsia="es-ES"/>
    </w:rPr>
  </w:style>
  <w:style w:type="character" w:customStyle="1" w:styleId="EncabezadoCar">
    <w:name w:val="Encabezado Car"/>
    <w:basedOn w:val="Fuentedeprrafopredeter"/>
    <w:link w:val="Encabezado"/>
    <w:uiPriority w:val="99"/>
    <w:rsid w:val="00CD280D"/>
    <w:rPr>
      <w:rFonts w:ascii="Arial" w:hAnsi="Arial"/>
      <w:lang w:val="es-ES" w:eastAsia="es-ES"/>
    </w:rPr>
  </w:style>
  <w:style w:type="paragraph" w:styleId="Prrafodelista">
    <w:name w:val="List Paragraph"/>
    <w:basedOn w:val="Normal"/>
    <w:uiPriority w:val="34"/>
    <w:qFormat/>
    <w:rsid w:val="00C1196D"/>
    <w:pPr>
      <w:ind w:left="720"/>
      <w:contextualSpacing/>
    </w:pPr>
    <w:rPr>
      <w:rFonts w:ascii="Times New Roman" w:hAnsi="Times New Roman"/>
      <w:sz w:val="24"/>
      <w:szCs w:val="24"/>
      <w:lang w:val="es-CO" w:eastAsia="es-CO"/>
    </w:rPr>
  </w:style>
  <w:style w:type="character" w:styleId="nfasis">
    <w:name w:val="Emphasis"/>
    <w:basedOn w:val="Fuentedeprrafopredeter"/>
    <w:uiPriority w:val="20"/>
    <w:qFormat/>
    <w:rsid w:val="00D475AD"/>
    <w:rPr>
      <w:i/>
      <w:iCs/>
    </w:rPr>
  </w:style>
  <w:style w:type="character" w:customStyle="1" w:styleId="mark7wvz1cs5i">
    <w:name w:val="mark7wvz1cs5i"/>
    <w:basedOn w:val="Fuentedeprrafopredeter"/>
    <w:rsid w:val="008D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americas/---ro-lima/---sro-lima/documents/genericdocument/wcms_5612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11240-0BAC-4ABA-98C4-A95A7992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4420</Words>
  <Characters>24316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Formato Memoria Justificativa</vt:lpstr>
    </vt:vector>
  </TitlesOfParts>
  <Company>dafp</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Memoria Justificativa</dc:title>
  <dc:subject/>
  <dc:creator>Departamento Administrativo de la Función Publica</dc:creator>
  <cp:keywords/>
  <dc:description/>
  <cp:lastModifiedBy>Isabel Del Carmen Agaton Santander</cp:lastModifiedBy>
  <cp:revision>12</cp:revision>
  <cp:lastPrinted>2019-07-08T22:30:00Z</cp:lastPrinted>
  <dcterms:created xsi:type="dcterms:W3CDTF">2024-01-12T19:52:00Z</dcterms:created>
  <dcterms:modified xsi:type="dcterms:W3CDTF">2024-01-12T21:09:00Z</dcterms:modified>
</cp:coreProperties>
</file>