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594DB416"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4E3C39E"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0D43DA5" w14:textId="4450DA74" w:rsidR="0026513E" w:rsidRPr="00084B49" w:rsidRDefault="00A976ED" w:rsidP="00795C6B">
            <w:pPr>
              <w:pStyle w:val="Ttulo2"/>
              <w:ind w:left="72" w:right="72"/>
              <w:jc w:val="left"/>
              <w:rPr>
                <w:rFonts w:cs="Arial"/>
                <w:b w:val="0"/>
                <w:i/>
                <w:color w:val="808080"/>
                <w:sz w:val="22"/>
                <w:szCs w:val="22"/>
              </w:rPr>
            </w:pPr>
            <w:r>
              <w:rPr>
                <w:rFonts w:cs="Arial"/>
                <w:b w:val="0"/>
                <w:i/>
                <w:color w:val="808080"/>
                <w:sz w:val="22"/>
                <w:szCs w:val="22"/>
              </w:rPr>
              <w:t>MINISTERIO DEL TRABAJO</w:t>
            </w:r>
          </w:p>
        </w:tc>
      </w:tr>
      <w:tr w:rsidR="005C4522" w:rsidRPr="009F7CED" w14:paraId="4A71D3F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1502A555"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18D7297" w14:textId="77777777" w:rsidR="00C47F73" w:rsidRPr="009F7CED" w:rsidRDefault="00795C6B" w:rsidP="005F30C3">
            <w:pPr>
              <w:pStyle w:val="Ttulo2"/>
              <w:ind w:left="72" w:right="72"/>
              <w:jc w:val="left"/>
              <w:rPr>
                <w:rFonts w:cs="Arial"/>
                <w:b w:val="0"/>
                <w:sz w:val="22"/>
                <w:szCs w:val="22"/>
              </w:rPr>
            </w:pPr>
            <w:r w:rsidRPr="00084B49">
              <w:rPr>
                <w:rFonts w:cs="Arial"/>
                <w:b w:val="0"/>
                <w:i/>
                <w:color w:val="808080"/>
                <w:sz w:val="22"/>
                <w:szCs w:val="22"/>
              </w:rPr>
              <w:t>Indique la fecha en que se presenta a Secretaría Jurídica de Presidencia</w:t>
            </w:r>
          </w:p>
        </w:tc>
      </w:tr>
      <w:tr w:rsidR="005C4522" w:rsidRPr="009F7CED" w14:paraId="3C4DE5D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BDE4F2E"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57A5574A" w14:textId="77777777" w:rsidR="00A976ED" w:rsidRPr="00A976ED" w:rsidRDefault="00A976ED" w:rsidP="00A976ED">
            <w:pPr>
              <w:pStyle w:val="Ttulo2"/>
              <w:ind w:left="72" w:right="72"/>
              <w:jc w:val="both"/>
              <w:rPr>
                <w:rFonts w:cs="Arial"/>
                <w:b w:val="0"/>
                <w:i/>
                <w:color w:val="808080"/>
                <w:sz w:val="22"/>
                <w:szCs w:val="22"/>
              </w:rPr>
            </w:pPr>
            <w:r w:rsidRPr="00A976ED">
              <w:rPr>
                <w:rFonts w:cs="Arial"/>
                <w:b w:val="0"/>
                <w:i/>
                <w:color w:val="808080"/>
                <w:sz w:val="22"/>
                <w:szCs w:val="22"/>
              </w:rPr>
              <w:t>Por el cual se subroga la Sección 10 del Capítulo 1 del Título 6 de la Parte 2 del Libro 2 del Decreto 1072 de 2015, Único Reglamentario del Sector Trabajo, y se reglamenta el Incentivo para la creación y permanencia de nuevos empleos formales</w:t>
            </w:r>
          </w:p>
          <w:p w14:paraId="6A904903" w14:textId="301CB054" w:rsidR="001F238A" w:rsidRPr="009F7CED" w:rsidRDefault="001F238A" w:rsidP="005F30C3">
            <w:pPr>
              <w:pStyle w:val="Ttulo2"/>
              <w:ind w:left="72" w:right="72"/>
              <w:jc w:val="left"/>
              <w:rPr>
                <w:rFonts w:cs="Arial"/>
                <w:spacing w:val="-3"/>
                <w:sz w:val="22"/>
                <w:szCs w:val="22"/>
              </w:rPr>
            </w:pPr>
          </w:p>
        </w:tc>
      </w:tr>
      <w:tr w:rsidR="000C0C3C" w:rsidRPr="009F7CED" w14:paraId="2F9D5B45" w14:textId="77777777" w:rsidTr="0075705D">
        <w:trPr>
          <w:trHeight w:val="674"/>
        </w:trPr>
        <w:tc>
          <w:tcPr>
            <w:tcW w:w="10774" w:type="dxa"/>
            <w:gridSpan w:val="3"/>
            <w:tcBorders>
              <w:top w:val="single" w:sz="4" w:space="0" w:color="auto"/>
            </w:tcBorders>
            <w:shd w:val="clear" w:color="auto" w:fill="FFFFFF"/>
            <w:vAlign w:val="center"/>
          </w:tcPr>
          <w:p w14:paraId="018B6E2A" w14:textId="77777777" w:rsidR="000C0C3C" w:rsidRDefault="000C0C3C" w:rsidP="000C0C3C">
            <w:pPr>
              <w:numPr>
                <w:ilvl w:val="0"/>
                <w:numId w:val="44"/>
              </w:numPr>
              <w:ind w:left="494"/>
              <w:jc w:val="both"/>
              <w:rPr>
                <w:rFonts w:ascii="Arial Narrow" w:hAnsi="Arial Narrow" w:cs="Arial"/>
                <w:b/>
                <w:color w:val="000000"/>
                <w:sz w:val="22"/>
                <w:szCs w:val="22"/>
                <w:lang w:val="es-CO"/>
              </w:rPr>
            </w:pPr>
            <w:r w:rsidRPr="007E5C84">
              <w:rPr>
                <w:rFonts w:ascii="Arial Narrow" w:hAnsi="Arial Narrow" w:cs="Arial"/>
                <w:b/>
                <w:color w:val="000000"/>
                <w:sz w:val="22"/>
                <w:szCs w:val="22"/>
                <w:lang w:val="es-CO"/>
              </w:rPr>
              <w:t>ANTECEDENTES Y RAZONES DE OPORTUNIDAD Y CONVENIENCIA QUE JUSTIFICAN SU EXPEDICIÓN.</w:t>
            </w:r>
          </w:p>
          <w:p w14:paraId="5D0DE3E0" w14:textId="77777777" w:rsidR="000C0C3C" w:rsidRPr="007E5C84" w:rsidRDefault="000C0C3C" w:rsidP="000C0C3C">
            <w:pPr>
              <w:ind w:left="494"/>
              <w:jc w:val="both"/>
              <w:rPr>
                <w:rFonts w:ascii="Arial Narrow" w:hAnsi="Arial Narrow" w:cs="Arial"/>
                <w:b/>
                <w:color w:val="000000"/>
                <w:sz w:val="22"/>
                <w:szCs w:val="22"/>
                <w:lang w:val="es-CO"/>
              </w:rPr>
            </w:pPr>
          </w:p>
          <w:p w14:paraId="78EBDF11"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El 24 de junio de 2021 </w:t>
            </w:r>
            <w:r w:rsidRPr="00EB5BEF">
              <w:rPr>
                <w:rFonts w:ascii="Arial Narrow" w:hAnsi="Arial Narrow" w:cs="Arial"/>
                <w:sz w:val="22"/>
                <w:szCs w:val="22"/>
                <w:lang w:val="es-CO"/>
              </w:rPr>
              <w:t>se expidió el Decreto 688 de 2021, que adicionó la Sección 10 al Capítulo 1 del Título 6 de la Parte 2 del Libro 2 del Decreto 1072 de 2015, Único Reglamentario del Sector Trabajo, por medio del cual se estable</w:t>
            </w:r>
            <w:r>
              <w:rPr>
                <w:rFonts w:ascii="Arial Narrow" w:hAnsi="Arial Narrow" w:cs="Arial"/>
                <w:sz w:val="22"/>
                <w:szCs w:val="22"/>
                <w:lang w:val="es-CO"/>
              </w:rPr>
              <w:t>ció</w:t>
            </w:r>
            <w:r w:rsidRPr="00EB5BEF">
              <w:rPr>
                <w:rFonts w:ascii="Arial Narrow" w:hAnsi="Arial Narrow" w:cs="Arial"/>
                <w:sz w:val="22"/>
                <w:szCs w:val="22"/>
                <w:lang w:val="es-CO"/>
              </w:rPr>
              <w:t xml:space="preserve"> un apoyo para la generación de empleo para jóvenes dentro de la Estrategia Sacúdete</w:t>
            </w:r>
            <w:r>
              <w:rPr>
                <w:rFonts w:ascii="Arial Narrow" w:hAnsi="Arial Narrow" w:cs="Arial"/>
                <w:sz w:val="22"/>
                <w:szCs w:val="22"/>
                <w:lang w:val="es-CO"/>
              </w:rPr>
              <w:t xml:space="preserve">, </w:t>
            </w:r>
            <w:r w:rsidRPr="00EB5BEF">
              <w:rPr>
                <w:rFonts w:ascii="Arial Narrow" w:hAnsi="Arial Narrow" w:cs="Arial"/>
                <w:sz w:val="22"/>
                <w:szCs w:val="22"/>
                <w:lang w:val="es-CO"/>
              </w:rPr>
              <w:t>otorgando a los empl</w:t>
            </w:r>
            <w:r>
              <w:rPr>
                <w:rFonts w:ascii="Arial Narrow" w:hAnsi="Arial Narrow" w:cs="Arial"/>
                <w:sz w:val="22"/>
                <w:szCs w:val="22"/>
                <w:lang w:val="es-CO"/>
              </w:rPr>
              <w:t>e</w:t>
            </w:r>
            <w:r w:rsidRPr="00EB5BEF">
              <w:rPr>
                <w:rFonts w:ascii="Arial Narrow" w:hAnsi="Arial Narrow" w:cs="Arial"/>
                <w:sz w:val="22"/>
                <w:szCs w:val="22"/>
                <w:lang w:val="es-CO"/>
              </w:rPr>
              <w:t>adores que reali</w:t>
            </w:r>
            <w:r>
              <w:rPr>
                <w:rFonts w:ascii="Arial Narrow" w:hAnsi="Arial Narrow" w:cs="Arial"/>
                <w:sz w:val="22"/>
                <w:szCs w:val="22"/>
                <w:lang w:val="es-CO"/>
              </w:rPr>
              <w:t>zaran</w:t>
            </w:r>
            <w:r w:rsidRPr="00EB5BEF">
              <w:rPr>
                <w:rFonts w:ascii="Arial Narrow" w:hAnsi="Arial Narrow" w:cs="Arial"/>
                <w:sz w:val="22"/>
                <w:szCs w:val="22"/>
                <w:lang w:val="es-CO"/>
              </w:rPr>
              <w:t xml:space="preserve"> contrataciones o vinculaciones en la vigencia 2021, un aporte mensual que correspon</w:t>
            </w:r>
            <w:r>
              <w:rPr>
                <w:rFonts w:ascii="Arial Narrow" w:hAnsi="Arial Narrow" w:cs="Arial"/>
                <w:sz w:val="22"/>
                <w:szCs w:val="22"/>
                <w:lang w:val="es-CO"/>
              </w:rPr>
              <w:t>diente</w:t>
            </w:r>
            <w:r w:rsidRPr="00EB5BEF">
              <w:rPr>
                <w:rFonts w:ascii="Arial Narrow" w:hAnsi="Arial Narrow" w:cs="Arial"/>
                <w:sz w:val="22"/>
                <w:szCs w:val="22"/>
                <w:lang w:val="es-CO"/>
              </w:rPr>
              <w:t xml:space="preserve"> al veinticinco por ciento (25%) de un (1) salario mínimo legal mensual vigente -SMLMV, por los trabajadores adicionales entre los 18 y 28 años de edad, y hasta por doce (12) veces dentro de la temporalidad del apoyo, con el objeto de generar empleo joven y formal en el país.</w:t>
            </w:r>
          </w:p>
          <w:p w14:paraId="0BD97A8D" w14:textId="77777777" w:rsidR="000C0C3C" w:rsidRDefault="000C0C3C" w:rsidP="000C0C3C">
            <w:pPr>
              <w:contextualSpacing/>
              <w:jc w:val="both"/>
              <w:rPr>
                <w:rFonts w:ascii="Arial Narrow" w:hAnsi="Arial Narrow" w:cs="Arial"/>
                <w:sz w:val="22"/>
                <w:szCs w:val="22"/>
                <w:lang w:val="es-CO"/>
              </w:rPr>
            </w:pPr>
          </w:p>
          <w:p w14:paraId="313F31F0"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Para definir el procedimiento para el reconocimiento del Incentivo a la generación de empleo para jóvenes dentro de la Estrategia Sacúdete, el Ministerio del Trabajo expidió la Resolución 1405 del 29 de julio de 2021 “</w:t>
            </w:r>
            <w:r w:rsidRPr="00D56705">
              <w:rPr>
                <w:rFonts w:ascii="Arial Narrow" w:hAnsi="Arial Narrow" w:cs="Arial"/>
                <w:i/>
                <w:iCs/>
                <w:sz w:val="22"/>
                <w:szCs w:val="22"/>
                <w:lang w:val="es-CO"/>
              </w:rPr>
              <w:t>por la cual se definen las reglas de operación del apoyo para la generación de empleo para jóvenes dentro de la Estrategia Sacúdete y se dictan otras disposiciones</w:t>
            </w:r>
            <w:r>
              <w:rPr>
                <w:rFonts w:ascii="Arial Narrow" w:hAnsi="Arial Narrow" w:cs="Arial"/>
                <w:sz w:val="22"/>
                <w:szCs w:val="22"/>
                <w:lang w:val="es-CO"/>
              </w:rPr>
              <w:t xml:space="preserve">”. </w:t>
            </w:r>
          </w:p>
          <w:p w14:paraId="606B9F4C" w14:textId="77777777" w:rsidR="000C0C3C" w:rsidRDefault="000C0C3C" w:rsidP="000C0C3C">
            <w:pPr>
              <w:contextualSpacing/>
              <w:jc w:val="both"/>
              <w:rPr>
                <w:rFonts w:ascii="Arial Narrow" w:hAnsi="Arial Narrow" w:cs="Arial"/>
                <w:sz w:val="22"/>
                <w:szCs w:val="22"/>
                <w:lang w:val="es-CO"/>
              </w:rPr>
            </w:pPr>
          </w:p>
          <w:p w14:paraId="1BCB2205"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Posteriormente, el Congreso de la República expidió la Ley 2155 del 14 de septiembre de 2021 </w:t>
            </w:r>
            <w:r w:rsidRPr="00D56705">
              <w:rPr>
                <w:rFonts w:ascii="Arial Narrow" w:hAnsi="Arial Narrow" w:cs="Arial"/>
                <w:sz w:val="22"/>
                <w:szCs w:val="22"/>
                <w:lang w:val="es-CO"/>
              </w:rPr>
              <w:t>"</w:t>
            </w:r>
            <w:r w:rsidRPr="00B65E56">
              <w:rPr>
                <w:rFonts w:ascii="Arial Narrow" w:hAnsi="Arial Narrow" w:cs="Arial"/>
                <w:i/>
                <w:iCs/>
                <w:sz w:val="22"/>
                <w:szCs w:val="22"/>
                <w:lang w:val="es-CO"/>
              </w:rPr>
              <w:t>por medio de la cual se expide la Ley de inversión social y se dictan otras disposiciones"</w:t>
            </w:r>
            <w:r>
              <w:rPr>
                <w:rFonts w:ascii="Arial Narrow" w:hAnsi="Arial Narrow" w:cs="Arial"/>
                <w:sz w:val="22"/>
                <w:szCs w:val="22"/>
                <w:lang w:val="es-CO"/>
              </w:rPr>
              <w:t>, cuyo artículo 24</w:t>
            </w:r>
            <w:r w:rsidRPr="00D56705">
              <w:rPr>
                <w:rFonts w:ascii="Arial Narrow" w:hAnsi="Arial Narrow" w:cs="Arial"/>
                <w:sz w:val="22"/>
                <w:szCs w:val="22"/>
                <w:lang w:val="es-CO"/>
              </w:rPr>
              <w:t xml:space="preserve"> creó el incentivo a la generación de nuevos empleos con el objetivo de mitigar los efectos socioeconómicos asociados a la pandemia del COVID·19 y reactivar la generación del empleo formal, </w:t>
            </w:r>
            <w:r>
              <w:rPr>
                <w:rFonts w:ascii="Arial Narrow" w:hAnsi="Arial Narrow" w:cs="Arial"/>
                <w:sz w:val="22"/>
                <w:szCs w:val="22"/>
                <w:lang w:val="es-CO"/>
              </w:rPr>
              <w:t>con el fin de f</w:t>
            </w:r>
            <w:r w:rsidRPr="00D56705">
              <w:rPr>
                <w:rFonts w:ascii="Arial Narrow" w:hAnsi="Arial Narrow" w:cs="Arial"/>
                <w:sz w:val="22"/>
                <w:szCs w:val="22"/>
                <w:lang w:val="es-CO"/>
              </w:rPr>
              <w:t>inanciar costos laborales como los pagos de seguridad social y parafiscales, el cual</w:t>
            </w:r>
            <w:r>
              <w:rPr>
                <w:rFonts w:ascii="Arial Narrow" w:hAnsi="Arial Narrow" w:cs="Arial"/>
                <w:sz w:val="22"/>
                <w:szCs w:val="22"/>
                <w:lang w:val="es-CO"/>
              </w:rPr>
              <w:t xml:space="preserve"> ha estado dirigido </w:t>
            </w:r>
            <w:r w:rsidRPr="00D56705">
              <w:rPr>
                <w:rFonts w:ascii="Arial Narrow" w:hAnsi="Arial Narrow" w:cs="Arial"/>
                <w:sz w:val="22"/>
                <w:szCs w:val="22"/>
                <w:lang w:val="es-CO"/>
              </w:rPr>
              <w:t>a los empleadores que generen nuevos empleos mediante la contratación de trabajadores adicionales.</w:t>
            </w:r>
          </w:p>
          <w:p w14:paraId="5AE4D383" w14:textId="77777777" w:rsidR="000C0C3C" w:rsidRDefault="000C0C3C" w:rsidP="000C0C3C">
            <w:pPr>
              <w:contextualSpacing/>
              <w:jc w:val="both"/>
              <w:rPr>
                <w:rFonts w:ascii="Arial Narrow" w:hAnsi="Arial Narrow" w:cs="Arial"/>
                <w:sz w:val="22"/>
                <w:szCs w:val="22"/>
                <w:lang w:val="es-CO"/>
              </w:rPr>
            </w:pPr>
          </w:p>
          <w:p w14:paraId="17931D30"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Con el fin de reglamentar en el procedimiento para la entrega de dicho Incentivo a los interesados, el Ministerio del Trabajo expidió la Resolución 3289 del 5 de diciembre de 2021 “</w:t>
            </w:r>
            <w:r w:rsidRPr="00D56705">
              <w:rPr>
                <w:rFonts w:ascii="Arial Narrow" w:hAnsi="Arial Narrow" w:cs="Arial"/>
                <w:i/>
                <w:iCs/>
                <w:sz w:val="22"/>
                <w:szCs w:val="22"/>
                <w:lang w:val="es-CO"/>
              </w:rPr>
              <w:t>por la cual se definen los procedimientos y las condiciones a las que deberán sujetarse las entidades involucradas con ocasión del otorgamiento del incentivo a la generación de nuevos empleos, las reglas y el procedimiento de postulación y se dictan otras disposiciones</w:t>
            </w:r>
            <w:r>
              <w:rPr>
                <w:rFonts w:ascii="Arial Narrow" w:hAnsi="Arial Narrow" w:cs="Arial"/>
                <w:sz w:val="22"/>
                <w:szCs w:val="22"/>
                <w:lang w:val="es-CO"/>
              </w:rPr>
              <w:t>”</w:t>
            </w:r>
          </w:p>
          <w:p w14:paraId="01D370B1" w14:textId="77777777" w:rsidR="000C0C3C" w:rsidRDefault="000C0C3C" w:rsidP="000C0C3C">
            <w:pPr>
              <w:contextualSpacing/>
              <w:jc w:val="both"/>
              <w:rPr>
                <w:rFonts w:ascii="Arial Narrow" w:hAnsi="Arial Narrow" w:cs="Arial"/>
                <w:sz w:val="22"/>
                <w:szCs w:val="22"/>
                <w:lang w:val="es-CO"/>
              </w:rPr>
            </w:pPr>
          </w:p>
          <w:p w14:paraId="2796D6E5"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L</w:t>
            </w:r>
            <w:r w:rsidRPr="00D56705">
              <w:rPr>
                <w:rFonts w:ascii="Arial Narrow" w:hAnsi="Arial Narrow" w:cs="Arial"/>
                <w:sz w:val="22"/>
                <w:szCs w:val="22"/>
                <w:lang w:val="es-CO"/>
              </w:rPr>
              <w:t>a implementación del Incentivo a la creación de nuevos empleos establecido en la Ley 2155 de 2021, generó los siguientes resultados: 778.489 nuevos empleos creados de los cuales 562.848 corresponden a jóvenes entre 18 y 28 años, 115.053 a mujeres mayores de 28 años y 100.588 hombres mayores de 28 años, así mismo logró beneficiar a 22.786 empleadores con un total de 652.923 millones de pesos en subsidios entregados entre septiembre de 2021 y abril de 2023 conforme con el boletín consolidado emitido por la Unidad Administrativa Especial de Gestión Pensional y Contribuciones Parafiscales de la Protección Social -UGPP.</w:t>
            </w:r>
          </w:p>
          <w:p w14:paraId="60BEE98E" w14:textId="77777777" w:rsidR="000C0C3C" w:rsidRDefault="000C0C3C" w:rsidP="000C0C3C">
            <w:pPr>
              <w:contextualSpacing/>
              <w:jc w:val="both"/>
              <w:rPr>
                <w:rFonts w:ascii="Arial Narrow" w:hAnsi="Arial Narrow" w:cs="Arial"/>
                <w:sz w:val="22"/>
                <w:szCs w:val="22"/>
                <w:lang w:val="es-CO"/>
              </w:rPr>
            </w:pPr>
          </w:p>
          <w:p w14:paraId="1712DFAE"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El día 19 de mayo de 2023, el Gobierno nacional sancionó la Ley 2294 de 2023 </w:t>
            </w:r>
            <w:r w:rsidRPr="006F1515">
              <w:rPr>
                <w:rFonts w:ascii="Arial Narrow" w:hAnsi="Arial Narrow" w:cs="Arial"/>
                <w:i/>
                <w:iCs/>
                <w:sz w:val="22"/>
                <w:szCs w:val="22"/>
                <w:lang w:val="es-CO"/>
              </w:rPr>
              <w:t>“por medio de la cual se expide el Plan Nacional de Desarrollo 2022 – 2026 ´Colombia Potencia Mundial de la Vida´”</w:t>
            </w:r>
            <w:r>
              <w:rPr>
                <w:rFonts w:ascii="Arial Narrow" w:hAnsi="Arial Narrow" w:cs="Arial"/>
                <w:sz w:val="22"/>
                <w:szCs w:val="22"/>
                <w:lang w:val="es-CO"/>
              </w:rPr>
              <w:t xml:space="preserve">, cuyo artículo 79, relativo al Incentivo a la Creación y Permanencia de Nuevos Empleos Formales, y </w:t>
            </w:r>
            <w:r w:rsidRPr="00D56705">
              <w:rPr>
                <w:rFonts w:ascii="Arial Narrow" w:hAnsi="Arial Narrow" w:cs="Arial"/>
                <w:sz w:val="22"/>
                <w:szCs w:val="22"/>
                <w:lang w:val="es-CO"/>
              </w:rPr>
              <w:t xml:space="preserve">con el objetivo de dar continuidad a las medidas encaminadas a la promoción, generación y protección del empleo formal, amplió </w:t>
            </w:r>
            <w:r>
              <w:rPr>
                <w:rFonts w:ascii="Arial Narrow" w:hAnsi="Arial Narrow" w:cs="Arial"/>
                <w:sz w:val="22"/>
                <w:szCs w:val="22"/>
                <w:lang w:val="es-CO"/>
              </w:rPr>
              <w:t xml:space="preserve">la posibilidad de entregar </w:t>
            </w:r>
            <w:r w:rsidRPr="00D56705">
              <w:rPr>
                <w:rFonts w:ascii="Arial Narrow" w:hAnsi="Arial Narrow" w:cs="Arial"/>
                <w:sz w:val="22"/>
                <w:szCs w:val="22"/>
                <w:lang w:val="es-CO"/>
              </w:rPr>
              <w:t>el incentivo a la generación de nuevo empleo definido en el artículo 24 de la Ley 2155 de 2021 a aquellos empleadores que vinculen a trabajadores con discapacidad, dando la posibilidad de extender</w:t>
            </w:r>
            <w:r>
              <w:rPr>
                <w:rFonts w:ascii="Arial Narrow" w:hAnsi="Arial Narrow" w:cs="Arial"/>
                <w:sz w:val="22"/>
                <w:szCs w:val="22"/>
                <w:lang w:val="es-CO"/>
              </w:rPr>
              <w:t xml:space="preserve"> su</w:t>
            </w:r>
            <w:r w:rsidRPr="00D56705">
              <w:rPr>
                <w:rFonts w:ascii="Arial Narrow" w:hAnsi="Arial Narrow" w:cs="Arial"/>
                <w:sz w:val="22"/>
                <w:szCs w:val="22"/>
                <w:lang w:val="es-CO"/>
              </w:rPr>
              <w:t xml:space="preserve"> vigencia hasta agosto de 2026.</w:t>
            </w:r>
          </w:p>
          <w:p w14:paraId="4A1BC9B0" w14:textId="77777777" w:rsidR="000C0C3C" w:rsidRDefault="000C0C3C" w:rsidP="000C0C3C">
            <w:pPr>
              <w:contextualSpacing/>
              <w:jc w:val="both"/>
              <w:rPr>
                <w:rFonts w:ascii="Arial Narrow" w:hAnsi="Arial Narrow" w:cs="Arial"/>
                <w:sz w:val="22"/>
                <w:szCs w:val="22"/>
                <w:lang w:val="es-CO"/>
              </w:rPr>
            </w:pPr>
          </w:p>
          <w:p w14:paraId="2715369C"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Según el artículo </w:t>
            </w:r>
            <w:r w:rsidRPr="006F1515">
              <w:rPr>
                <w:rFonts w:ascii="Arial Narrow" w:hAnsi="Arial Narrow" w:cs="Arial"/>
                <w:sz w:val="22"/>
                <w:szCs w:val="22"/>
                <w:lang w:val="es-CO"/>
              </w:rPr>
              <w:t>79</w:t>
            </w:r>
            <w:r>
              <w:rPr>
                <w:rFonts w:ascii="Arial Narrow" w:hAnsi="Arial Narrow" w:cs="Arial"/>
                <w:sz w:val="22"/>
                <w:szCs w:val="22"/>
                <w:lang w:val="es-CO"/>
              </w:rPr>
              <w:t>,</w:t>
            </w:r>
            <w:r w:rsidRPr="006F1515">
              <w:rPr>
                <w:rFonts w:ascii="Arial Narrow" w:hAnsi="Arial Narrow" w:cs="Arial"/>
                <w:sz w:val="22"/>
                <w:szCs w:val="22"/>
                <w:lang w:val="es-CO"/>
              </w:rPr>
              <w:t xml:space="preserve"> el Gobierno </w:t>
            </w:r>
            <w:r>
              <w:rPr>
                <w:rFonts w:ascii="Arial Narrow" w:hAnsi="Arial Narrow" w:cs="Arial"/>
                <w:sz w:val="22"/>
                <w:szCs w:val="22"/>
                <w:lang w:val="es-CO"/>
              </w:rPr>
              <w:t>N</w:t>
            </w:r>
            <w:r w:rsidRPr="006F1515">
              <w:rPr>
                <w:rFonts w:ascii="Arial Narrow" w:hAnsi="Arial Narrow" w:cs="Arial"/>
                <w:sz w:val="22"/>
                <w:szCs w:val="22"/>
                <w:lang w:val="es-CO"/>
              </w:rPr>
              <w:t>acional debe la valorar la pertinencia de su continuidad, de acuerdo con los resultados de los estudios técnicos realizados por las entidades públicas sectoriales, pudiendo rediseñar los requisitos de acceso y permanencia, las poblaciones beneficiarias, los montos y mecanismos para otorgar el incentivo y los demás aspectos necesarios para su implementación.</w:t>
            </w:r>
          </w:p>
          <w:p w14:paraId="73DCD80F" w14:textId="77777777" w:rsidR="000C0C3C" w:rsidRDefault="000C0C3C" w:rsidP="000C0C3C">
            <w:pPr>
              <w:contextualSpacing/>
              <w:jc w:val="both"/>
              <w:rPr>
                <w:rFonts w:ascii="Arial Narrow" w:hAnsi="Arial Narrow" w:cs="Arial"/>
                <w:sz w:val="22"/>
                <w:szCs w:val="22"/>
                <w:lang w:val="es-CO"/>
              </w:rPr>
            </w:pPr>
          </w:p>
          <w:p w14:paraId="7A59AC09"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Según los estudios elaborados por el Departamento Nacional de Planeación, el Incentivo a la creación de nuevos empleos contemplado en el artículo 24 de la Ley 2155 de 2021… </w:t>
            </w:r>
            <w:r w:rsidRPr="00B16675">
              <w:rPr>
                <w:rFonts w:ascii="Arial Narrow" w:hAnsi="Arial Narrow" w:cs="Arial"/>
                <w:sz w:val="22"/>
                <w:szCs w:val="22"/>
                <w:highlight w:val="yellow"/>
                <w:lang w:val="es-CO"/>
              </w:rPr>
              <w:t xml:space="preserve">(complementar con resultados definitivos </w:t>
            </w:r>
            <w:r>
              <w:rPr>
                <w:rFonts w:ascii="Arial Narrow" w:hAnsi="Arial Narrow" w:cs="Arial"/>
                <w:sz w:val="22"/>
                <w:szCs w:val="22"/>
                <w:highlight w:val="yellow"/>
                <w:lang w:val="es-CO"/>
              </w:rPr>
              <w:t xml:space="preserve">del estudio que está adelantando el </w:t>
            </w:r>
            <w:r w:rsidRPr="00B16675">
              <w:rPr>
                <w:rFonts w:ascii="Arial Narrow" w:hAnsi="Arial Narrow" w:cs="Arial"/>
                <w:sz w:val="22"/>
                <w:szCs w:val="22"/>
                <w:highlight w:val="yellow"/>
                <w:lang w:val="es-CO"/>
              </w:rPr>
              <w:t>DNP</w:t>
            </w:r>
            <w:r w:rsidRPr="00E15FDE">
              <w:rPr>
                <w:rFonts w:ascii="Arial Narrow" w:hAnsi="Arial Narrow" w:cs="Arial"/>
                <w:sz w:val="22"/>
                <w:szCs w:val="22"/>
                <w:highlight w:val="yellow"/>
                <w:lang w:val="es-CO"/>
              </w:rPr>
              <w:t>; y con los que entregue la Subdirección de Análisis y Monitoreo</w:t>
            </w:r>
            <w:r>
              <w:rPr>
                <w:rFonts w:ascii="Arial Narrow" w:hAnsi="Arial Narrow" w:cs="Arial"/>
                <w:sz w:val="22"/>
                <w:szCs w:val="22"/>
                <w:lang w:val="es-CO"/>
              </w:rPr>
              <w:t>)</w:t>
            </w:r>
          </w:p>
          <w:p w14:paraId="5D29C762" w14:textId="77777777" w:rsidR="000C0C3C" w:rsidRDefault="000C0C3C" w:rsidP="000C0C3C">
            <w:pPr>
              <w:contextualSpacing/>
              <w:jc w:val="both"/>
              <w:rPr>
                <w:rFonts w:ascii="Arial Narrow" w:hAnsi="Arial Narrow" w:cs="Arial"/>
                <w:sz w:val="22"/>
                <w:szCs w:val="22"/>
                <w:lang w:val="es-CO"/>
              </w:rPr>
            </w:pPr>
          </w:p>
          <w:p w14:paraId="26D2ED05" w14:textId="77777777" w:rsidR="000C0C3C" w:rsidRDefault="000C0C3C" w:rsidP="000C0C3C">
            <w:pPr>
              <w:contextualSpacing/>
              <w:jc w:val="both"/>
              <w:rPr>
                <w:rFonts w:ascii="Arial Narrow" w:hAnsi="Arial Narrow" w:cs="Arial"/>
                <w:sz w:val="22"/>
                <w:szCs w:val="22"/>
                <w:lang w:val="es-CO"/>
              </w:rPr>
            </w:pPr>
            <w:r w:rsidRPr="00E15FDE">
              <w:rPr>
                <w:rFonts w:ascii="Arial Narrow" w:hAnsi="Arial Narrow" w:cs="Arial"/>
                <w:sz w:val="22"/>
                <w:szCs w:val="22"/>
                <w:highlight w:val="yellow"/>
                <w:lang w:val="es-CO"/>
              </w:rPr>
              <w:t xml:space="preserve">Adicionar los datos de la reglamentación que está en proceso de ser expedida, respecto del </w:t>
            </w:r>
            <w:proofErr w:type="spellStart"/>
            <w:r w:rsidRPr="00E15FDE">
              <w:rPr>
                <w:rFonts w:ascii="Arial Narrow" w:hAnsi="Arial Narrow" w:cs="Arial"/>
                <w:sz w:val="22"/>
                <w:szCs w:val="22"/>
                <w:highlight w:val="yellow"/>
                <w:lang w:val="es-CO"/>
              </w:rPr>
              <w:t>Incebtivo</w:t>
            </w:r>
            <w:proofErr w:type="spellEnd"/>
            <w:r w:rsidRPr="00E15FDE">
              <w:rPr>
                <w:rFonts w:ascii="Arial Narrow" w:hAnsi="Arial Narrow" w:cs="Arial"/>
                <w:sz w:val="22"/>
                <w:szCs w:val="22"/>
                <w:highlight w:val="yellow"/>
                <w:lang w:val="es-CO"/>
              </w:rPr>
              <w:t xml:space="preserve"> a la creación y permanencia de nuevos empleos formales para lo que resta del año 2023.</w:t>
            </w:r>
          </w:p>
          <w:p w14:paraId="04DB9A4F" w14:textId="77777777" w:rsidR="000C0C3C" w:rsidRDefault="000C0C3C" w:rsidP="000C0C3C">
            <w:pPr>
              <w:contextualSpacing/>
              <w:jc w:val="both"/>
              <w:rPr>
                <w:rFonts w:ascii="Arial Narrow" w:hAnsi="Arial Narrow" w:cs="Arial"/>
                <w:sz w:val="22"/>
                <w:szCs w:val="22"/>
                <w:lang w:val="es-CO"/>
              </w:rPr>
            </w:pPr>
          </w:p>
          <w:p w14:paraId="77BB72BB" w14:textId="77777777" w:rsidR="000C0C3C" w:rsidRPr="00E15FDE" w:rsidRDefault="000C0C3C" w:rsidP="000C0C3C">
            <w:pPr>
              <w:contextualSpacing/>
              <w:jc w:val="both"/>
              <w:rPr>
                <w:rFonts w:ascii="Arial Narrow" w:hAnsi="Arial Narrow" w:cs="Arial"/>
                <w:sz w:val="22"/>
                <w:szCs w:val="22"/>
                <w:lang w:val="es-CO"/>
              </w:rPr>
            </w:pPr>
            <w:r w:rsidRPr="00E15FDE">
              <w:rPr>
                <w:rFonts w:ascii="Arial Narrow" w:hAnsi="Arial Narrow" w:cs="Arial"/>
                <w:sz w:val="22"/>
                <w:szCs w:val="22"/>
                <w:lang w:val="es-CO"/>
              </w:rPr>
              <w:t>De acuerdo con las cifras del mercado laboral reportadas por el Boletín Técnico de la Gran Encuesta Integrada de Hogares GEIH para el trimestre abril-junio de 2023 del Departamento Administrativo Nacional de Estadística -DANE –, la tasa de ocupación (TO) para el total de personas entre 15 y 28 años fue 46,3%, presentando un aumento de 1,6 p.p. comparado con igual periodo del 2022 (44,6%). Para los hombres esta tasa se ubicó en 54,6% y para las mujeres fue de 37,6%. Por su parte, la tasa de desempleo de la población joven se ubicó en 17,1%, registrando una disminución de 1,3 p.p. frente al trimestre abril-junio 2022 (18,4%). Para las mujeres jóvenes esta tasa se ubicó en 21,1% disminución de 2,1 p.p. frente al trimestre abril-junio de 2022 (23,2%). La TD de los hombres jóvenes fue de 14,2%, con una diminución 0,7 p.p. con respecto al mismo periodo del año anterior (14,9%). La brecha por sexo en la tasa de desempleo durante este periodo fue de 6,9 puntos porcentuales.</w:t>
            </w:r>
          </w:p>
          <w:p w14:paraId="6D2D6C50" w14:textId="77777777" w:rsidR="000C0C3C" w:rsidRPr="00E15FDE" w:rsidRDefault="000C0C3C" w:rsidP="000C0C3C">
            <w:pPr>
              <w:contextualSpacing/>
              <w:jc w:val="both"/>
              <w:rPr>
                <w:rFonts w:ascii="Arial Narrow" w:hAnsi="Arial Narrow" w:cs="Arial"/>
                <w:sz w:val="22"/>
                <w:szCs w:val="22"/>
                <w:lang w:val="es-CO"/>
              </w:rPr>
            </w:pPr>
          </w:p>
          <w:p w14:paraId="02A126FD" w14:textId="77777777" w:rsidR="000C0C3C" w:rsidRDefault="000C0C3C" w:rsidP="000C0C3C">
            <w:pPr>
              <w:contextualSpacing/>
              <w:jc w:val="both"/>
              <w:rPr>
                <w:rFonts w:ascii="Arial Narrow" w:hAnsi="Arial Narrow" w:cs="Arial"/>
                <w:sz w:val="22"/>
                <w:szCs w:val="22"/>
                <w:lang w:val="es-CO"/>
              </w:rPr>
            </w:pPr>
            <w:r w:rsidRPr="00E15FDE">
              <w:rPr>
                <w:rFonts w:ascii="Arial Narrow" w:hAnsi="Arial Narrow" w:cs="Arial"/>
                <w:sz w:val="22"/>
                <w:szCs w:val="22"/>
                <w:lang w:val="es-CO"/>
              </w:rPr>
              <w:t xml:space="preserve">Para las personas con discapacidad durante este mismo periodo la tasa de ocupación fue de 22,2%; durante este periodo se observa una brecha de 35,5 puntos porcentuales con relación a la tasa de ocupación de las personas sin discapacidad (57,7%). La tasa de desempleo fue de 11,7% durante el trimestre abril-junio de 2023, presentando una disminución de 0,4 puntos porcentuales con especto al trimestre abril-junio de 2022 (12,1%). Durante el trimestre analizado (abril-junio de 2023), las personas con discapacidad registraron una tasa de inactividad del 74,8%, con una brecha de 39,1 puntos porcentuales frente a la registrada en la población sin discapacidad (35,7%). </w:t>
            </w:r>
          </w:p>
          <w:p w14:paraId="7B615701" w14:textId="77777777" w:rsidR="000C0C3C" w:rsidRDefault="000C0C3C" w:rsidP="000C0C3C">
            <w:pPr>
              <w:contextualSpacing/>
              <w:jc w:val="both"/>
              <w:rPr>
                <w:rFonts w:ascii="Arial Narrow" w:hAnsi="Arial Narrow" w:cs="Arial"/>
                <w:sz w:val="22"/>
                <w:szCs w:val="22"/>
                <w:lang w:val="es-CO"/>
              </w:rPr>
            </w:pPr>
          </w:p>
          <w:p w14:paraId="6053A9D0"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Por otra parte, debe tenerse en cuenta que la </w:t>
            </w:r>
            <w:r w:rsidRPr="009E4E43">
              <w:rPr>
                <w:rFonts w:ascii="Arial Narrow" w:hAnsi="Arial Narrow" w:cs="Arial"/>
                <w:sz w:val="22"/>
                <w:szCs w:val="22"/>
                <w:lang w:val="es-CO"/>
              </w:rPr>
              <w:t>Unidad del Servicio Público de Empleo</w:t>
            </w:r>
            <w:r>
              <w:rPr>
                <w:rFonts w:ascii="Arial Narrow" w:hAnsi="Arial Narrow" w:cs="Arial"/>
                <w:sz w:val="22"/>
                <w:szCs w:val="22"/>
                <w:lang w:val="es-CO"/>
              </w:rPr>
              <w:t xml:space="preserve"> cuenta con un Sistema de Información denominado – SISE- el cual es enriquecido con información de los propios empleadores, y </w:t>
            </w:r>
            <w:r w:rsidRPr="00F82BD9">
              <w:rPr>
                <w:rFonts w:ascii="Arial Narrow" w:hAnsi="Arial Narrow" w:cs="Arial"/>
                <w:sz w:val="22"/>
                <w:szCs w:val="22"/>
                <w:lang w:val="es-CO"/>
              </w:rPr>
              <w:t>sirve para adelantar la gestión de las vacantes que publican los prestadores de servicio</w:t>
            </w:r>
            <w:r>
              <w:rPr>
                <w:rFonts w:ascii="Arial Narrow" w:hAnsi="Arial Narrow" w:cs="Arial"/>
                <w:sz w:val="22"/>
                <w:szCs w:val="22"/>
                <w:lang w:val="es-CO"/>
              </w:rPr>
              <w:t>s</w:t>
            </w:r>
            <w:r w:rsidRPr="00F82BD9">
              <w:rPr>
                <w:rFonts w:ascii="Arial Narrow" w:hAnsi="Arial Narrow" w:cs="Arial"/>
                <w:sz w:val="22"/>
                <w:szCs w:val="22"/>
                <w:lang w:val="es-CO"/>
              </w:rPr>
              <w:t xml:space="preserve"> de gestión y colocación de empleo, con el fin de facilitar a los empleadores la búsqueda e identificación de los perfiles que buscan para proveer dichas vacantes</w:t>
            </w:r>
            <w:r>
              <w:rPr>
                <w:rFonts w:ascii="Arial Narrow" w:hAnsi="Arial Narrow" w:cs="Arial"/>
                <w:sz w:val="22"/>
                <w:szCs w:val="22"/>
                <w:lang w:val="es-CO"/>
              </w:rPr>
              <w:t xml:space="preserve">, de allí se pueden tomar datos para soportar la necesidad de implementar beneficios económicos dirigidos a los empleadores, como el Incentivo a la Creación y Permanencia de Nuevos Empleos Formales contemplado en el artículo 79 de la Ley 2294 de 2023, teniendo en cuenta </w:t>
            </w:r>
          </w:p>
          <w:p w14:paraId="04A6896D" w14:textId="77777777" w:rsidR="000C0C3C" w:rsidRDefault="000C0C3C" w:rsidP="000C0C3C">
            <w:pPr>
              <w:contextualSpacing/>
              <w:jc w:val="both"/>
              <w:rPr>
                <w:rFonts w:ascii="Arial Narrow" w:hAnsi="Arial Narrow" w:cs="Arial"/>
                <w:sz w:val="22"/>
                <w:szCs w:val="22"/>
                <w:lang w:val="es-CO"/>
              </w:rPr>
            </w:pPr>
          </w:p>
          <w:p w14:paraId="03F2CD8E"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De acuerdo con el Boletín del SISE del mes de junio de 2023, donde se analiza el comportamiento de la demanda laboral </w:t>
            </w:r>
            <w:r w:rsidRPr="004E23B5">
              <w:rPr>
                <w:rFonts w:ascii="Arial Narrow" w:hAnsi="Arial Narrow" w:cs="Arial"/>
                <w:sz w:val="22"/>
                <w:szCs w:val="22"/>
                <w:lang w:val="es-CO"/>
              </w:rPr>
              <w:t>sobre distintas dimensiones: sector, ocupación, educación,</w:t>
            </w:r>
            <w:r>
              <w:rPr>
                <w:rFonts w:ascii="Arial Narrow" w:hAnsi="Arial Narrow" w:cs="Arial"/>
                <w:sz w:val="22"/>
                <w:szCs w:val="22"/>
                <w:lang w:val="es-CO"/>
              </w:rPr>
              <w:t xml:space="preserve"> </w:t>
            </w:r>
            <w:r w:rsidRPr="004E23B5">
              <w:rPr>
                <w:rFonts w:ascii="Arial Narrow" w:hAnsi="Arial Narrow" w:cs="Arial"/>
                <w:sz w:val="22"/>
                <w:szCs w:val="22"/>
                <w:lang w:val="es-CO"/>
              </w:rPr>
              <w:t>experiencia y salarios</w:t>
            </w:r>
            <w:r>
              <w:rPr>
                <w:rFonts w:ascii="Arial Narrow" w:hAnsi="Arial Narrow" w:cs="Arial"/>
                <w:sz w:val="22"/>
                <w:szCs w:val="22"/>
                <w:lang w:val="es-CO"/>
              </w:rPr>
              <w:t xml:space="preserve">, </w:t>
            </w:r>
            <w:r w:rsidRPr="009E4E43">
              <w:rPr>
                <w:rFonts w:ascii="Arial Narrow" w:hAnsi="Arial Narrow" w:cs="Arial"/>
                <w:sz w:val="22"/>
                <w:szCs w:val="22"/>
                <w:lang w:val="es-CO"/>
              </w:rPr>
              <w:t>los sectores con mayor representación e incidencia en la variación negativa de la</w:t>
            </w:r>
            <w:r>
              <w:rPr>
                <w:rFonts w:ascii="Arial Narrow" w:hAnsi="Arial Narrow" w:cs="Arial"/>
                <w:sz w:val="22"/>
                <w:szCs w:val="22"/>
                <w:lang w:val="es-CO"/>
              </w:rPr>
              <w:t xml:space="preserve"> </w:t>
            </w:r>
            <w:r w:rsidRPr="009E4E43">
              <w:rPr>
                <w:rFonts w:ascii="Arial Narrow" w:hAnsi="Arial Narrow" w:cs="Arial"/>
                <w:sz w:val="22"/>
                <w:szCs w:val="22"/>
                <w:lang w:val="es-CO"/>
              </w:rPr>
              <w:t>demanda laboral con respecto al mismo mes del año 2022 fueron: actividades de servicios</w:t>
            </w:r>
            <w:r>
              <w:rPr>
                <w:rFonts w:ascii="Arial Narrow" w:hAnsi="Arial Narrow" w:cs="Arial"/>
                <w:sz w:val="22"/>
                <w:szCs w:val="22"/>
                <w:lang w:val="es-CO"/>
              </w:rPr>
              <w:t xml:space="preserve"> </w:t>
            </w:r>
            <w:r w:rsidRPr="009E4E43">
              <w:rPr>
                <w:rFonts w:ascii="Arial Narrow" w:hAnsi="Arial Narrow" w:cs="Arial"/>
                <w:sz w:val="22"/>
                <w:szCs w:val="22"/>
                <w:lang w:val="es-CO"/>
              </w:rPr>
              <w:t>administrativos y de apoyo e información y comunicaciones, los cuales han tenido los mayores</w:t>
            </w:r>
            <w:r>
              <w:rPr>
                <w:rFonts w:ascii="Arial Narrow" w:hAnsi="Arial Narrow" w:cs="Arial"/>
                <w:sz w:val="22"/>
                <w:szCs w:val="22"/>
                <w:lang w:val="es-CO"/>
              </w:rPr>
              <w:t xml:space="preserve"> </w:t>
            </w:r>
            <w:r w:rsidRPr="009E4E43">
              <w:rPr>
                <w:rFonts w:ascii="Arial Narrow" w:hAnsi="Arial Narrow" w:cs="Arial"/>
                <w:sz w:val="22"/>
                <w:szCs w:val="22"/>
                <w:lang w:val="es-CO"/>
              </w:rPr>
              <w:t>porcentajes de disminución de sus ofertas de empleo en relación con el mismo mes en 2022, esta</w:t>
            </w:r>
            <w:r>
              <w:rPr>
                <w:rFonts w:ascii="Arial Narrow" w:hAnsi="Arial Narrow" w:cs="Arial"/>
                <w:sz w:val="22"/>
                <w:szCs w:val="22"/>
                <w:lang w:val="es-CO"/>
              </w:rPr>
              <w:t xml:space="preserve"> </w:t>
            </w:r>
            <w:r w:rsidRPr="009E4E43">
              <w:rPr>
                <w:rFonts w:ascii="Arial Narrow" w:hAnsi="Arial Narrow" w:cs="Arial"/>
                <w:sz w:val="22"/>
                <w:szCs w:val="22"/>
                <w:lang w:val="es-CO"/>
              </w:rPr>
              <w:t xml:space="preserve">variación fue de 13,5 %, y 34,7 % respectivamente. </w:t>
            </w:r>
          </w:p>
          <w:p w14:paraId="14C4617C" w14:textId="77777777" w:rsidR="000C0C3C" w:rsidRDefault="000C0C3C" w:rsidP="000C0C3C">
            <w:pPr>
              <w:contextualSpacing/>
              <w:jc w:val="both"/>
              <w:rPr>
                <w:rFonts w:ascii="Arial Narrow" w:hAnsi="Arial Narrow" w:cs="Arial"/>
                <w:sz w:val="22"/>
                <w:szCs w:val="22"/>
                <w:lang w:val="es-CO"/>
              </w:rPr>
            </w:pPr>
          </w:p>
          <w:p w14:paraId="4CDC7B8F"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En cuanto a grupos poblacionales, </w:t>
            </w:r>
            <w:r w:rsidRPr="009E4E43">
              <w:rPr>
                <w:rFonts w:ascii="Arial Narrow" w:hAnsi="Arial Narrow" w:cs="Arial"/>
                <w:sz w:val="22"/>
                <w:szCs w:val="22"/>
                <w:lang w:val="es-CO"/>
              </w:rPr>
              <w:t>cinco grupos representan el 74,7 % de la demanda laboral. En primer lugar, se</w:t>
            </w:r>
            <w:r>
              <w:rPr>
                <w:rFonts w:ascii="Arial Narrow" w:hAnsi="Arial Narrow" w:cs="Arial"/>
                <w:sz w:val="22"/>
                <w:szCs w:val="22"/>
                <w:lang w:val="es-CO"/>
              </w:rPr>
              <w:t xml:space="preserve"> </w:t>
            </w:r>
            <w:r w:rsidRPr="009E4E43">
              <w:rPr>
                <w:rFonts w:ascii="Arial Narrow" w:hAnsi="Arial Narrow" w:cs="Arial"/>
                <w:sz w:val="22"/>
                <w:szCs w:val="22"/>
                <w:lang w:val="es-CO"/>
              </w:rPr>
              <w:t>encuentran las ofertas de empleo para trabajadores de los servicios y vendedores de comercios y</w:t>
            </w:r>
            <w:r>
              <w:rPr>
                <w:rFonts w:ascii="Arial Narrow" w:hAnsi="Arial Narrow" w:cs="Arial"/>
                <w:sz w:val="22"/>
                <w:szCs w:val="22"/>
                <w:lang w:val="es-CO"/>
              </w:rPr>
              <w:t xml:space="preserve"> </w:t>
            </w:r>
            <w:r w:rsidRPr="009E4E43">
              <w:rPr>
                <w:rFonts w:ascii="Arial Narrow" w:hAnsi="Arial Narrow" w:cs="Arial"/>
                <w:sz w:val="22"/>
                <w:szCs w:val="22"/>
                <w:lang w:val="es-CO"/>
              </w:rPr>
              <w:t>mercados, las cuales tuvieron un peso del 20,7 % en el total, con una variación de</w:t>
            </w:r>
            <w:r>
              <w:rPr>
                <w:rFonts w:ascii="Arial Narrow" w:hAnsi="Arial Narrow" w:cs="Arial"/>
                <w:sz w:val="22"/>
                <w:szCs w:val="22"/>
                <w:lang w:val="es-CO"/>
              </w:rPr>
              <w:t xml:space="preserve"> </w:t>
            </w:r>
            <w:r w:rsidRPr="009E4E43">
              <w:rPr>
                <w:rFonts w:ascii="Arial Narrow" w:hAnsi="Arial Narrow" w:cs="Arial"/>
                <w:sz w:val="22"/>
                <w:szCs w:val="22"/>
                <w:lang w:val="es-CO"/>
              </w:rPr>
              <w:t>-2,0 % en su demanda laboral entre junio de 2023 y junio de 2022 y 1,3 % en su participación,</w:t>
            </w:r>
            <w:r>
              <w:rPr>
                <w:rFonts w:ascii="Arial Narrow" w:hAnsi="Arial Narrow" w:cs="Arial"/>
                <w:sz w:val="22"/>
                <w:szCs w:val="22"/>
                <w:lang w:val="es-CO"/>
              </w:rPr>
              <w:t xml:space="preserve"> </w:t>
            </w:r>
            <w:r w:rsidRPr="009E4E43">
              <w:rPr>
                <w:rFonts w:ascii="Arial Narrow" w:hAnsi="Arial Narrow" w:cs="Arial"/>
                <w:sz w:val="22"/>
                <w:szCs w:val="22"/>
                <w:lang w:val="es-CO"/>
              </w:rPr>
              <w:t>pasando de 19,4 % a 20,7 %. El segundo y tercer puesto en importancia lo ocupan los profesionales,</w:t>
            </w:r>
            <w:r>
              <w:rPr>
                <w:rFonts w:ascii="Arial Narrow" w:hAnsi="Arial Narrow" w:cs="Arial"/>
                <w:sz w:val="22"/>
                <w:szCs w:val="22"/>
                <w:lang w:val="es-CO"/>
              </w:rPr>
              <w:t xml:space="preserve"> </w:t>
            </w:r>
            <w:r w:rsidRPr="009E4E43">
              <w:rPr>
                <w:rFonts w:ascii="Arial Narrow" w:hAnsi="Arial Narrow" w:cs="Arial"/>
                <w:sz w:val="22"/>
                <w:szCs w:val="22"/>
                <w:lang w:val="es-CO"/>
              </w:rPr>
              <w:t>científicos e intelectuales y el personal de apoyo administrativo, los cuales tuvieron una</w:t>
            </w:r>
            <w:r>
              <w:rPr>
                <w:rFonts w:ascii="Arial Narrow" w:hAnsi="Arial Narrow" w:cs="Arial"/>
                <w:sz w:val="22"/>
                <w:szCs w:val="22"/>
                <w:lang w:val="es-CO"/>
              </w:rPr>
              <w:t xml:space="preserve"> p</w:t>
            </w:r>
            <w:r w:rsidRPr="009E4E43">
              <w:rPr>
                <w:rFonts w:ascii="Arial Narrow" w:hAnsi="Arial Narrow" w:cs="Arial"/>
                <w:sz w:val="22"/>
                <w:szCs w:val="22"/>
                <w:lang w:val="es-CO"/>
              </w:rPr>
              <w:t>articipación del 17,5 % y 17,4 % respectivamente, con una variación de -9,0 % y -12,9 % en su</w:t>
            </w:r>
            <w:r>
              <w:rPr>
                <w:rFonts w:ascii="Arial Narrow" w:hAnsi="Arial Narrow" w:cs="Arial"/>
                <w:sz w:val="22"/>
                <w:szCs w:val="22"/>
                <w:lang w:val="es-CO"/>
              </w:rPr>
              <w:t xml:space="preserve"> </w:t>
            </w:r>
            <w:r w:rsidRPr="009E4E43">
              <w:rPr>
                <w:rFonts w:ascii="Arial Narrow" w:hAnsi="Arial Narrow" w:cs="Arial"/>
                <w:sz w:val="22"/>
                <w:szCs w:val="22"/>
                <w:lang w:val="es-CO"/>
              </w:rPr>
              <w:t>demanda laboral.</w:t>
            </w:r>
            <w:r>
              <w:rPr>
                <w:rFonts w:ascii="Arial Narrow" w:hAnsi="Arial Narrow" w:cs="Arial"/>
                <w:sz w:val="22"/>
                <w:szCs w:val="22"/>
                <w:lang w:val="es-CO"/>
              </w:rPr>
              <w:t xml:space="preserve"> </w:t>
            </w:r>
            <w:r w:rsidRPr="009E4E43">
              <w:rPr>
                <w:rFonts w:ascii="Arial Narrow" w:hAnsi="Arial Narrow" w:cs="Arial"/>
                <w:sz w:val="22"/>
                <w:szCs w:val="22"/>
                <w:lang w:val="es-CO"/>
              </w:rPr>
              <w:t>Los técnicos y profesionales de nivel medio y oficiales, operarios, artesanos y oficios relacionados,</w:t>
            </w:r>
            <w:r>
              <w:rPr>
                <w:rFonts w:ascii="Arial Narrow" w:hAnsi="Arial Narrow" w:cs="Arial"/>
                <w:sz w:val="22"/>
                <w:szCs w:val="22"/>
                <w:lang w:val="es-CO"/>
              </w:rPr>
              <w:t xml:space="preserve"> </w:t>
            </w:r>
            <w:r w:rsidRPr="009E4E43">
              <w:rPr>
                <w:rFonts w:ascii="Arial Narrow" w:hAnsi="Arial Narrow" w:cs="Arial"/>
                <w:sz w:val="22"/>
                <w:szCs w:val="22"/>
                <w:lang w:val="es-CO"/>
              </w:rPr>
              <w:t>ocupan los siguientes dos lugares entre las cinco ocupaciones de mayor participación en el total de</w:t>
            </w:r>
            <w:r>
              <w:rPr>
                <w:rFonts w:ascii="Arial Narrow" w:hAnsi="Arial Narrow" w:cs="Arial"/>
                <w:sz w:val="22"/>
                <w:szCs w:val="22"/>
                <w:lang w:val="es-CO"/>
              </w:rPr>
              <w:t xml:space="preserve"> </w:t>
            </w:r>
            <w:r w:rsidRPr="009E4E43">
              <w:rPr>
                <w:rFonts w:ascii="Arial Narrow" w:hAnsi="Arial Narrow" w:cs="Arial"/>
                <w:sz w:val="22"/>
                <w:szCs w:val="22"/>
                <w:lang w:val="es-CO"/>
              </w:rPr>
              <w:t>ofertas de empleo registradas en junio de 2023, representando los dos un 19,1 % del total.</w:t>
            </w:r>
          </w:p>
          <w:p w14:paraId="417CE88D" w14:textId="77777777" w:rsidR="000C0C3C" w:rsidRDefault="000C0C3C" w:rsidP="000C0C3C">
            <w:pPr>
              <w:contextualSpacing/>
              <w:jc w:val="both"/>
              <w:rPr>
                <w:rFonts w:ascii="Arial Narrow" w:hAnsi="Arial Narrow" w:cs="Arial"/>
                <w:sz w:val="22"/>
                <w:szCs w:val="22"/>
                <w:lang w:val="es-CO"/>
              </w:rPr>
            </w:pPr>
          </w:p>
          <w:p w14:paraId="6FF24DA0"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Si se revisa la demanda laboral por nivel educativo, </w:t>
            </w:r>
            <w:r w:rsidRPr="00AC67A7">
              <w:rPr>
                <w:rFonts w:ascii="Arial Narrow" w:hAnsi="Arial Narrow" w:cs="Arial"/>
                <w:sz w:val="22"/>
                <w:szCs w:val="22"/>
                <w:lang w:val="es-CO"/>
              </w:rPr>
              <w:t>las ofertas de empleo que son para personas con</w:t>
            </w:r>
            <w:r>
              <w:rPr>
                <w:rFonts w:ascii="Arial Narrow" w:hAnsi="Arial Narrow" w:cs="Arial"/>
                <w:sz w:val="22"/>
                <w:szCs w:val="22"/>
                <w:lang w:val="es-CO"/>
              </w:rPr>
              <w:t xml:space="preserve"> </w:t>
            </w:r>
            <w:r w:rsidRPr="00AC67A7">
              <w:rPr>
                <w:rFonts w:ascii="Arial Narrow" w:hAnsi="Arial Narrow" w:cs="Arial"/>
                <w:sz w:val="22"/>
                <w:szCs w:val="22"/>
                <w:lang w:val="es-CO"/>
              </w:rPr>
              <w:t>un nivel educativo bachillerato, grupo con el 27,7 % de la demanda en junio de 2023 y una variación</w:t>
            </w:r>
            <w:r>
              <w:rPr>
                <w:rFonts w:ascii="Arial Narrow" w:hAnsi="Arial Narrow" w:cs="Arial"/>
                <w:sz w:val="22"/>
                <w:szCs w:val="22"/>
                <w:lang w:val="es-CO"/>
              </w:rPr>
              <w:t xml:space="preserve"> </w:t>
            </w:r>
            <w:r w:rsidRPr="00AC67A7">
              <w:rPr>
                <w:rFonts w:ascii="Arial Narrow" w:hAnsi="Arial Narrow" w:cs="Arial"/>
                <w:sz w:val="22"/>
                <w:szCs w:val="22"/>
                <w:lang w:val="es-CO"/>
              </w:rPr>
              <w:t xml:space="preserve">del -21,4 % entre junio de 2023 y el mismo mes de 2022; seguido </w:t>
            </w:r>
            <w:r w:rsidRPr="00AC67A7">
              <w:rPr>
                <w:rFonts w:ascii="Arial Narrow" w:hAnsi="Arial Narrow" w:cs="Arial"/>
                <w:sz w:val="22"/>
                <w:szCs w:val="22"/>
                <w:lang w:val="es-CO"/>
              </w:rPr>
              <w:lastRenderedPageBreak/>
              <w:t>del nivel educativo universitario</w:t>
            </w:r>
            <w:r>
              <w:rPr>
                <w:rFonts w:ascii="Arial Narrow" w:hAnsi="Arial Narrow" w:cs="Arial"/>
                <w:sz w:val="22"/>
                <w:szCs w:val="22"/>
                <w:lang w:val="es-CO"/>
              </w:rPr>
              <w:t xml:space="preserve"> </w:t>
            </w:r>
            <w:r w:rsidRPr="00AC67A7">
              <w:rPr>
                <w:rFonts w:ascii="Arial Narrow" w:hAnsi="Arial Narrow" w:cs="Arial"/>
                <w:sz w:val="22"/>
                <w:szCs w:val="22"/>
                <w:lang w:val="es-CO"/>
              </w:rPr>
              <w:t>que concentra el 21,3 % del total y muestra una variación del -10,3%.</w:t>
            </w:r>
            <w:r>
              <w:rPr>
                <w:rFonts w:ascii="Arial Narrow" w:hAnsi="Arial Narrow" w:cs="Arial"/>
                <w:sz w:val="22"/>
                <w:szCs w:val="22"/>
                <w:lang w:val="es-CO"/>
              </w:rPr>
              <w:t xml:space="preserve"> </w:t>
            </w:r>
            <w:r w:rsidRPr="00AC67A7">
              <w:rPr>
                <w:rFonts w:ascii="Arial Narrow" w:hAnsi="Arial Narrow" w:cs="Arial"/>
                <w:sz w:val="22"/>
                <w:szCs w:val="22"/>
                <w:lang w:val="es-CO"/>
              </w:rPr>
              <w:t>Las ofertas de empleo para personas con carreras técnicas presentaron una variación en su</w:t>
            </w:r>
            <w:r>
              <w:rPr>
                <w:rFonts w:ascii="Arial Narrow" w:hAnsi="Arial Narrow" w:cs="Arial"/>
                <w:sz w:val="22"/>
                <w:szCs w:val="22"/>
                <w:lang w:val="es-CO"/>
              </w:rPr>
              <w:t xml:space="preserve"> </w:t>
            </w:r>
            <w:r w:rsidRPr="00AC67A7">
              <w:rPr>
                <w:rFonts w:ascii="Arial Narrow" w:hAnsi="Arial Narrow" w:cs="Arial"/>
                <w:sz w:val="22"/>
                <w:szCs w:val="22"/>
                <w:lang w:val="es-CO"/>
              </w:rPr>
              <w:t>demanda laboral del -9,3 % entre junio de 2023 y 2022, con una participación en el total de 19,8 %.</w:t>
            </w:r>
            <w:r>
              <w:rPr>
                <w:rFonts w:ascii="Arial Narrow" w:hAnsi="Arial Narrow" w:cs="Arial"/>
                <w:sz w:val="22"/>
                <w:szCs w:val="22"/>
                <w:lang w:val="es-CO"/>
              </w:rPr>
              <w:t xml:space="preserve"> </w:t>
            </w:r>
            <w:r w:rsidRPr="00AC67A7">
              <w:rPr>
                <w:rFonts w:ascii="Arial Narrow" w:hAnsi="Arial Narrow" w:cs="Arial"/>
                <w:sz w:val="22"/>
                <w:szCs w:val="22"/>
                <w:lang w:val="es-CO"/>
              </w:rPr>
              <w:t>Para el mes de junio de 2023, los niveles con mayor demanda suman el 68,8 % del total de ofertas</w:t>
            </w:r>
            <w:r>
              <w:rPr>
                <w:rFonts w:ascii="Arial Narrow" w:hAnsi="Arial Narrow" w:cs="Arial"/>
                <w:sz w:val="22"/>
                <w:szCs w:val="22"/>
                <w:lang w:val="es-CO"/>
              </w:rPr>
              <w:t xml:space="preserve"> </w:t>
            </w:r>
            <w:r w:rsidRPr="00AC67A7">
              <w:rPr>
                <w:rFonts w:ascii="Arial Narrow" w:hAnsi="Arial Narrow" w:cs="Arial"/>
                <w:sz w:val="22"/>
                <w:szCs w:val="22"/>
                <w:lang w:val="es-CO"/>
              </w:rPr>
              <w:t>de empleo registradas: bachillerato (27,7 %), universitario (21,3 %) y técnica (19,8 %).</w:t>
            </w:r>
            <w:r>
              <w:rPr>
                <w:rFonts w:ascii="Arial Narrow" w:hAnsi="Arial Narrow" w:cs="Arial"/>
                <w:sz w:val="22"/>
                <w:szCs w:val="22"/>
                <w:lang w:val="es-CO"/>
              </w:rPr>
              <w:t xml:space="preserve"> </w:t>
            </w:r>
            <w:r w:rsidRPr="00AC67A7">
              <w:rPr>
                <w:rFonts w:ascii="Arial Narrow" w:hAnsi="Arial Narrow" w:cs="Arial"/>
                <w:sz w:val="22"/>
                <w:szCs w:val="22"/>
                <w:lang w:val="es-CO"/>
              </w:rPr>
              <w:t>Todas las categorías de niveles educativos presentaron contracción en su demanda laboral, a</w:t>
            </w:r>
            <w:r>
              <w:rPr>
                <w:rFonts w:ascii="Arial Narrow" w:hAnsi="Arial Narrow" w:cs="Arial"/>
                <w:sz w:val="22"/>
                <w:szCs w:val="22"/>
                <w:lang w:val="es-CO"/>
              </w:rPr>
              <w:t xml:space="preserve"> </w:t>
            </w:r>
            <w:r w:rsidRPr="00AC67A7">
              <w:rPr>
                <w:rFonts w:ascii="Arial Narrow" w:hAnsi="Arial Narrow" w:cs="Arial"/>
                <w:sz w:val="22"/>
                <w:szCs w:val="22"/>
                <w:lang w:val="es-CO"/>
              </w:rPr>
              <w:t>excepción de los niveles de maestría y doctorado que son los de menor representación en el total</w:t>
            </w:r>
            <w:r>
              <w:rPr>
                <w:rFonts w:ascii="Arial Narrow" w:hAnsi="Arial Narrow" w:cs="Arial"/>
                <w:sz w:val="22"/>
                <w:szCs w:val="22"/>
                <w:lang w:val="es-CO"/>
              </w:rPr>
              <w:t xml:space="preserve"> </w:t>
            </w:r>
            <w:r w:rsidRPr="00AC67A7">
              <w:rPr>
                <w:rFonts w:ascii="Arial Narrow" w:hAnsi="Arial Narrow" w:cs="Arial"/>
                <w:sz w:val="22"/>
                <w:szCs w:val="22"/>
                <w:lang w:val="es-CO"/>
              </w:rPr>
              <w:t>de la demanda laboral, 0,3 % y 0,1 % respectivamente.</w:t>
            </w:r>
          </w:p>
          <w:p w14:paraId="3D98DC40" w14:textId="77777777" w:rsidR="000C0C3C" w:rsidRDefault="000C0C3C" w:rsidP="000C0C3C">
            <w:pPr>
              <w:contextualSpacing/>
              <w:jc w:val="both"/>
              <w:rPr>
                <w:rFonts w:ascii="Arial Narrow" w:hAnsi="Arial Narrow" w:cs="Arial"/>
                <w:sz w:val="22"/>
                <w:szCs w:val="22"/>
                <w:lang w:val="es-CO"/>
              </w:rPr>
            </w:pPr>
          </w:p>
          <w:p w14:paraId="2C465719" w14:textId="77777777" w:rsidR="000C0C3C" w:rsidRPr="00AC67A7"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Ahora bien, respecto de la demanda laboral por rangos salariales, dicho Boletín reporta que l</w:t>
            </w:r>
            <w:r w:rsidRPr="00AC67A7">
              <w:rPr>
                <w:rFonts w:ascii="Arial Narrow" w:hAnsi="Arial Narrow" w:cs="Arial"/>
                <w:sz w:val="22"/>
                <w:szCs w:val="22"/>
                <w:lang w:val="es-CO"/>
              </w:rPr>
              <w:t>a mayoría de las categorías presentan variaciones negativas en su</w:t>
            </w:r>
            <w:r>
              <w:rPr>
                <w:rFonts w:ascii="Arial Narrow" w:hAnsi="Arial Narrow" w:cs="Arial"/>
                <w:sz w:val="22"/>
                <w:szCs w:val="22"/>
                <w:lang w:val="es-CO"/>
              </w:rPr>
              <w:t xml:space="preserve"> </w:t>
            </w:r>
            <w:r w:rsidRPr="00AC67A7">
              <w:rPr>
                <w:rFonts w:ascii="Arial Narrow" w:hAnsi="Arial Narrow" w:cs="Arial"/>
                <w:sz w:val="22"/>
                <w:szCs w:val="22"/>
                <w:lang w:val="es-CO"/>
              </w:rPr>
              <w:t>demanda laboral frente al mismo mes del año inmediatamente anterior, a</w:t>
            </w:r>
            <w:r>
              <w:rPr>
                <w:rFonts w:ascii="Arial Narrow" w:hAnsi="Arial Narrow" w:cs="Arial"/>
                <w:sz w:val="22"/>
                <w:szCs w:val="22"/>
                <w:lang w:val="es-CO"/>
              </w:rPr>
              <w:t xml:space="preserve"> </w:t>
            </w:r>
            <w:r w:rsidRPr="00AC67A7">
              <w:rPr>
                <w:rFonts w:ascii="Arial Narrow" w:hAnsi="Arial Narrow" w:cs="Arial"/>
                <w:sz w:val="22"/>
                <w:szCs w:val="22"/>
                <w:lang w:val="es-CO"/>
              </w:rPr>
              <w:t>excepción de aquellas que ofrecen menos de 800 mil COP, entre 1 y 1,5 millones de COP, 2 a 3</w:t>
            </w:r>
            <w:r>
              <w:rPr>
                <w:rFonts w:ascii="Arial Narrow" w:hAnsi="Arial Narrow" w:cs="Arial"/>
                <w:sz w:val="22"/>
                <w:szCs w:val="22"/>
                <w:lang w:val="es-CO"/>
              </w:rPr>
              <w:t xml:space="preserve"> </w:t>
            </w:r>
            <w:r w:rsidRPr="00AC67A7">
              <w:rPr>
                <w:rFonts w:ascii="Arial Narrow" w:hAnsi="Arial Narrow" w:cs="Arial"/>
                <w:sz w:val="22"/>
                <w:szCs w:val="22"/>
                <w:lang w:val="es-CO"/>
              </w:rPr>
              <w:t>millones de COP, 6 a 8 millones de COP y 10 a 12 millones de COP. Los rangos que más concentran</w:t>
            </w:r>
            <w:r>
              <w:rPr>
                <w:rFonts w:ascii="Arial Narrow" w:hAnsi="Arial Narrow" w:cs="Arial"/>
                <w:sz w:val="22"/>
                <w:szCs w:val="22"/>
                <w:lang w:val="es-CO"/>
              </w:rPr>
              <w:t xml:space="preserve"> </w:t>
            </w:r>
            <w:r w:rsidRPr="00AC67A7">
              <w:rPr>
                <w:rFonts w:ascii="Arial Narrow" w:hAnsi="Arial Narrow" w:cs="Arial"/>
                <w:sz w:val="22"/>
                <w:szCs w:val="22"/>
                <w:lang w:val="es-CO"/>
              </w:rPr>
              <w:t>ofertas de empleo, con el 63,5 % del total, son: $1.000.001 - $1.500.000 con el 41,1 % de</w:t>
            </w:r>
            <w:r>
              <w:rPr>
                <w:rFonts w:ascii="Arial Narrow" w:hAnsi="Arial Narrow" w:cs="Arial"/>
                <w:sz w:val="22"/>
                <w:szCs w:val="22"/>
                <w:lang w:val="es-CO"/>
              </w:rPr>
              <w:t xml:space="preserve"> </w:t>
            </w:r>
            <w:r w:rsidRPr="00AC67A7">
              <w:rPr>
                <w:rFonts w:ascii="Arial Narrow" w:hAnsi="Arial Narrow" w:cs="Arial"/>
                <w:sz w:val="22"/>
                <w:szCs w:val="22"/>
                <w:lang w:val="es-CO"/>
              </w:rPr>
              <w:t>participación y un crecimiento en la demanda de 58,5 %; $1.500.001 - $2.000.000 que tuvo una</w:t>
            </w:r>
            <w:r>
              <w:rPr>
                <w:rFonts w:ascii="Arial Narrow" w:hAnsi="Arial Narrow" w:cs="Arial"/>
                <w:sz w:val="22"/>
                <w:szCs w:val="22"/>
                <w:lang w:val="es-CO"/>
              </w:rPr>
              <w:t xml:space="preserve"> </w:t>
            </w:r>
            <w:r w:rsidRPr="00AC67A7">
              <w:rPr>
                <w:rFonts w:ascii="Arial Narrow" w:hAnsi="Arial Narrow" w:cs="Arial"/>
                <w:sz w:val="22"/>
                <w:szCs w:val="22"/>
                <w:lang w:val="es-CO"/>
              </w:rPr>
              <w:t>participación de 11,3 % y una variación negativa de 5,2 % en su demanda laboral, y $2.000.001 -</w:t>
            </w:r>
            <w:r>
              <w:rPr>
                <w:rFonts w:ascii="Arial Narrow" w:hAnsi="Arial Narrow" w:cs="Arial"/>
                <w:sz w:val="22"/>
                <w:szCs w:val="22"/>
                <w:lang w:val="es-CO"/>
              </w:rPr>
              <w:t xml:space="preserve"> </w:t>
            </w:r>
            <w:r w:rsidRPr="00AC67A7">
              <w:rPr>
                <w:rFonts w:ascii="Arial Narrow" w:hAnsi="Arial Narrow" w:cs="Arial"/>
                <w:sz w:val="22"/>
                <w:szCs w:val="22"/>
                <w:lang w:val="es-CO"/>
              </w:rPr>
              <w:t>$3.000.000 con una participación del 11,2 % y una variación del 25,5 %. Las ofertas de empleo con</w:t>
            </w:r>
            <w:r>
              <w:rPr>
                <w:rFonts w:ascii="Arial Narrow" w:hAnsi="Arial Narrow" w:cs="Arial"/>
                <w:sz w:val="22"/>
                <w:szCs w:val="22"/>
                <w:lang w:val="es-CO"/>
              </w:rPr>
              <w:t xml:space="preserve"> </w:t>
            </w:r>
            <w:r w:rsidRPr="00AC67A7">
              <w:rPr>
                <w:rFonts w:ascii="Arial Narrow" w:hAnsi="Arial Narrow" w:cs="Arial"/>
                <w:sz w:val="22"/>
                <w:szCs w:val="22"/>
                <w:lang w:val="es-CO"/>
              </w:rPr>
              <w:t>salario a convenir, que se ubican entre las de mayor cantidad de ofertas de empleo, tuvieron una</w:t>
            </w:r>
          </w:p>
          <w:p w14:paraId="21881760" w14:textId="77777777" w:rsidR="000C0C3C" w:rsidRDefault="000C0C3C" w:rsidP="000C0C3C">
            <w:pPr>
              <w:contextualSpacing/>
              <w:jc w:val="both"/>
              <w:rPr>
                <w:rFonts w:ascii="Arial Narrow" w:hAnsi="Arial Narrow" w:cs="Arial"/>
                <w:sz w:val="22"/>
                <w:szCs w:val="22"/>
                <w:lang w:val="es-CO"/>
              </w:rPr>
            </w:pPr>
            <w:r w:rsidRPr="00AC67A7">
              <w:rPr>
                <w:rFonts w:ascii="Arial Narrow" w:hAnsi="Arial Narrow" w:cs="Arial"/>
                <w:sz w:val="22"/>
                <w:szCs w:val="22"/>
                <w:lang w:val="es-CO"/>
              </w:rPr>
              <w:t>participación del 21,1 % y crecieron 14,7 % en su demanda.</w:t>
            </w:r>
            <w:r>
              <w:rPr>
                <w:rFonts w:ascii="Arial Narrow" w:hAnsi="Arial Narrow" w:cs="Arial"/>
                <w:sz w:val="22"/>
                <w:szCs w:val="22"/>
                <w:lang w:val="es-CO"/>
              </w:rPr>
              <w:t xml:space="preserve"> </w:t>
            </w:r>
            <w:r w:rsidRPr="00AC67A7">
              <w:rPr>
                <w:rFonts w:ascii="Arial Narrow" w:hAnsi="Arial Narrow" w:cs="Arial"/>
                <w:sz w:val="22"/>
                <w:szCs w:val="22"/>
                <w:lang w:val="es-CO"/>
              </w:rPr>
              <w:t>Respecto a las ofertas de empleo totales, la participación de aquellas que ofrecen entre 800 mil y 1</w:t>
            </w:r>
            <w:r>
              <w:rPr>
                <w:rFonts w:ascii="Arial Narrow" w:hAnsi="Arial Narrow" w:cs="Arial"/>
                <w:sz w:val="22"/>
                <w:szCs w:val="22"/>
                <w:lang w:val="es-CO"/>
              </w:rPr>
              <w:t xml:space="preserve"> </w:t>
            </w:r>
            <w:r w:rsidRPr="00AC67A7">
              <w:rPr>
                <w:rFonts w:ascii="Arial Narrow" w:hAnsi="Arial Narrow" w:cs="Arial"/>
                <w:sz w:val="22"/>
                <w:szCs w:val="22"/>
                <w:lang w:val="es-CO"/>
              </w:rPr>
              <w:t>millón y entre 3 y 4 millones disminuyó en 24,2 % y 1,4 % respectivamente, pasando de representar</w:t>
            </w:r>
            <w:r>
              <w:rPr>
                <w:rFonts w:ascii="Arial Narrow" w:hAnsi="Arial Narrow" w:cs="Arial"/>
                <w:sz w:val="22"/>
                <w:szCs w:val="22"/>
                <w:lang w:val="es-CO"/>
              </w:rPr>
              <w:t xml:space="preserve"> </w:t>
            </w:r>
            <w:r w:rsidRPr="00AC67A7">
              <w:rPr>
                <w:rFonts w:ascii="Arial Narrow" w:hAnsi="Arial Narrow" w:cs="Arial"/>
                <w:sz w:val="22"/>
                <w:szCs w:val="22"/>
                <w:lang w:val="es-CO"/>
              </w:rPr>
              <w:t>el 33,0 % en junio de 2022 al 7,3 % en junio de 2023. Por su parte, aquellas ofertas menores a 800</w:t>
            </w:r>
            <w:r>
              <w:rPr>
                <w:rFonts w:ascii="Arial Narrow" w:hAnsi="Arial Narrow" w:cs="Arial"/>
                <w:sz w:val="22"/>
                <w:szCs w:val="22"/>
                <w:lang w:val="es-CO"/>
              </w:rPr>
              <w:t xml:space="preserve"> </w:t>
            </w:r>
            <w:r w:rsidRPr="00AC67A7">
              <w:rPr>
                <w:rFonts w:ascii="Arial Narrow" w:hAnsi="Arial Narrow" w:cs="Arial"/>
                <w:sz w:val="22"/>
                <w:szCs w:val="22"/>
                <w:lang w:val="es-CO"/>
              </w:rPr>
              <w:t>mil, entre 1 y 3 millones, 4 y 8 millones y 10 y 15 millones de COP tuvieron un incremento en su</w:t>
            </w:r>
            <w:r>
              <w:rPr>
                <w:rFonts w:ascii="Arial Narrow" w:hAnsi="Arial Narrow" w:cs="Arial"/>
                <w:sz w:val="22"/>
                <w:szCs w:val="22"/>
                <w:lang w:val="es-CO"/>
              </w:rPr>
              <w:t xml:space="preserve"> </w:t>
            </w:r>
            <w:r w:rsidRPr="00AC67A7">
              <w:rPr>
                <w:rFonts w:ascii="Arial Narrow" w:hAnsi="Arial Narrow" w:cs="Arial"/>
                <w:sz w:val="22"/>
                <w:szCs w:val="22"/>
                <w:lang w:val="es-CO"/>
              </w:rPr>
              <w:t>participación para junio 2023 frente al mismo mes en 2022, siendo el más representativo el de 1 a</w:t>
            </w:r>
            <w:r>
              <w:rPr>
                <w:rFonts w:ascii="Arial Narrow" w:hAnsi="Arial Narrow" w:cs="Arial"/>
                <w:sz w:val="22"/>
                <w:szCs w:val="22"/>
                <w:lang w:val="es-CO"/>
              </w:rPr>
              <w:t xml:space="preserve"> </w:t>
            </w:r>
            <w:r w:rsidRPr="00AC67A7">
              <w:rPr>
                <w:rFonts w:ascii="Arial Narrow" w:hAnsi="Arial Narrow" w:cs="Arial"/>
                <w:sz w:val="22"/>
                <w:szCs w:val="22"/>
                <w:lang w:val="es-CO"/>
              </w:rPr>
              <w:t>1,5 millones de COP con el 17,2 %.</w:t>
            </w:r>
          </w:p>
          <w:p w14:paraId="7CF587AD" w14:textId="77777777" w:rsidR="000C0C3C" w:rsidRDefault="000C0C3C" w:rsidP="000C0C3C">
            <w:pPr>
              <w:contextualSpacing/>
              <w:jc w:val="both"/>
              <w:rPr>
                <w:rFonts w:ascii="Arial Narrow" w:hAnsi="Arial Narrow" w:cs="Arial"/>
                <w:sz w:val="22"/>
                <w:szCs w:val="22"/>
                <w:lang w:val="es-CO"/>
              </w:rPr>
            </w:pPr>
          </w:p>
          <w:p w14:paraId="7262F4D3" w14:textId="77777777" w:rsidR="000C0C3C" w:rsidRDefault="000C0C3C" w:rsidP="000C0C3C">
            <w:pPr>
              <w:contextualSpacing/>
              <w:jc w:val="both"/>
              <w:rPr>
                <w:rFonts w:ascii="Arial Narrow" w:hAnsi="Arial Narrow" w:cs="Arial"/>
                <w:sz w:val="22"/>
                <w:szCs w:val="22"/>
                <w:lang w:val="es-CO"/>
              </w:rPr>
            </w:pPr>
            <w:r>
              <w:rPr>
                <w:rFonts w:ascii="Arial Narrow" w:hAnsi="Arial Narrow" w:cs="Arial"/>
                <w:sz w:val="22"/>
                <w:szCs w:val="22"/>
                <w:lang w:val="es-CO"/>
              </w:rPr>
              <w:t xml:space="preserve">Finalmente, se resalta el impacto positivo del Incentivo a la creación y permanencia de nuevos empleos formales para los buscadores de empleo, quienes al contar con una estabilidad laboral de 24 meses de vinculación superan barreras de acceso al empleo asociadas a la experiencia laboral; mejoran sus condiciones para la movilidad laboral y fortalecen la adquisición de habilidades y entrenamiento para optar a mejores vacantes, por cuanto el programa garantiza la entrega del Incentivo hasta por 24 veces conforme a las condiciones que se reglamenten. De acuerdo con el Boletín de junio de 2023 del SISE se puede observar que el ochenta y uno punto cinco por ciento (81.5%) de las vacantes ofertadas requieren hasta veinticuatro (24) meses de experiencia. </w:t>
            </w:r>
          </w:p>
          <w:p w14:paraId="13333C4F" w14:textId="77777777" w:rsidR="000C0C3C" w:rsidRPr="009F7CED" w:rsidRDefault="000C0C3C" w:rsidP="000C0C3C">
            <w:pPr>
              <w:autoSpaceDE w:val="0"/>
              <w:autoSpaceDN w:val="0"/>
              <w:adjustRightInd w:val="0"/>
              <w:jc w:val="both"/>
              <w:rPr>
                <w:rFonts w:eastAsia="Calibri" w:cs="Arial"/>
                <w:sz w:val="22"/>
                <w:szCs w:val="22"/>
                <w:lang w:val="es-CO" w:eastAsia="en-US"/>
              </w:rPr>
            </w:pPr>
          </w:p>
        </w:tc>
      </w:tr>
      <w:tr w:rsidR="000C0C3C" w:rsidRPr="009F7CED" w14:paraId="58438FC5" w14:textId="77777777" w:rsidTr="0075705D">
        <w:trPr>
          <w:trHeight w:val="47"/>
        </w:trPr>
        <w:tc>
          <w:tcPr>
            <w:tcW w:w="10774" w:type="dxa"/>
            <w:gridSpan w:val="3"/>
            <w:shd w:val="clear" w:color="auto" w:fill="FFFFFF"/>
            <w:vAlign w:val="center"/>
          </w:tcPr>
          <w:p w14:paraId="42C3453A" w14:textId="77777777" w:rsidR="000C0C3C" w:rsidRPr="009F7CED" w:rsidRDefault="000C0C3C" w:rsidP="000C0C3C">
            <w:pPr>
              <w:jc w:val="both"/>
              <w:rPr>
                <w:lang w:eastAsia="es-CO"/>
              </w:rPr>
            </w:pPr>
          </w:p>
        </w:tc>
      </w:tr>
      <w:tr w:rsidR="000C0C3C" w:rsidRPr="009F7CED"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317CCD0" w14:textId="77777777" w:rsidR="000C0C3C" w:rsidRPr="007E5C84" w:rsidRDefault="000C0C3C" w:rsidP="000C0C3C">
            <w:pPr>
              <w:numPr>
                <w:ilvl w:val="0"/>
                <w:numId w:val="44"/>
              </w:numPr>
              <w:ind w:left="494"/>
              <w:rPr>
                <w:rFonts w:ascii="Arial Narrow" w:hAnsi="Arial Narrow" w:cs="Arial"/>
                <w:b/>
                <w:color w:val="000000"/>
                <w:sz w:val="22"/>
                <w:szCs w:val="22"/>
              </w:rPr>
            </w:pPr>
            <w:r w:rsidRPr="007E5C84">
              <w:rPr>
                <w:rFonts w:ascii="Arial Narrow" w:hAnsi="Arial Narrow" w:cs="Arial"/>
                <w:b/>
                <w:color w:val="000000"/>
                <w:sz w:val="22"/>
                <w:szCs w:val="22"/>
              </w:rPr>
              <w:t>AMBITO DE APLICACIÓN Y SUJETOS A QUIENES VA DIRIGIDO</w:t>
            </w:r>
          </w:p>
          <w:p w14:paraId="53193003" w14:textId="77777777" w:rsidR="000C0C3C" w:rsidRDefault="000C0C3C" w:rsidP="000C0C3C">
            <w:pPr>
              <w:jc w:val="both"/>
              <w:rPr>
                <w:rFonts w:ascii="Arial Narrow" w:hAnsi="Arial Narrow" w:cs="Arial"/>
                <w:b/>
                <w:color w:val="000000"/>
                <w:sz w:val="22"/>
                <w:szCs w:val="22"/>
                <w:lang w:val="es-CO"/>
              </w:rPr>
            </w:pPr>
          </w:p>
          <w:p w14:paraId="0853C4E0" w14:textId="77777777" w:rsidR="000C0C3C" w:rsidRDefault="000C0C3C" w:rsidP="000C0C3C">
            <w:pPr>
              <w:jc w:val="both"/>
              <w:rPr>
                <w:rFonts w:ascii="Arial Narrow" w:hAnsi="Arial Narrow" w:cs="Arial"/>
                <w:b/>
                <w:color w:val="000000"/>
                <w:sz w:val="22"/>
                <w:szCs w:val="22"/>
                <w:lang w:val="es-CO"/>
              </w:rPr>
            </w:pPr>
            <w:r w:rsidRPr="007E5C84">
              <w:rPr>
                <w:rFonts w:ascii="Arial Narrow" w:hAnsi="Arial Narrow" w:cs="Arial"/>
                <w:b/>
                <w:color w:val="000000"/>
                <w:sz w:val="22"/>
                <w:szCs w:val="22"/>
                <w:lang w:val="es-CO"/>
              </w:rPr>
              <w:t>Ámbito de Aplicación:</w:t>
            </w:r>
          </w:p>
          <w:p w14:paraId="10B47A6D" w14:textId="77777777" w:rsidR="000C0C3C" w:rsidRDefault="000C0C3C" w:rsidP="000C0C3C">
            <w:pPr>
              <w:jc w:val="both"/>
              <w:rPr>
                <w:rFonts w:ascii="Arial Narrow" w:hAnsi="Arial Narrow" w:cs="Arial"/>
                <w:b/>
                <w:color w:val="000000"/>
                <w:sz w:val="22"/>
                <w:szCs w:val="22"/>
                <w:lang w:val="es-CO"/>
              </w:rPr>
            </w:pPr>
          </w:p>
          <w:p w14:paraId="76C97226" w14:textId="77777777" w:rsidR="000C0C3C" w:rsidRPr="007E5C84" w:rsidRDefault="000C0C3C" w:rsidP="000C0C3C">
            <w:pPr>
              <w:numPr>
                <w:ilvl w:val="0"/>
                <w:numId w:val="47"/>
              </w:numPr>
              <w:jc w:val="both"/>
              <w:rPr>
                <w:rFonts w:ascii="Arial Narrow" w:hAnsi="Arial Narrow" w:cs="Arial"/>
                <w:color w:val="000000"/>
                <w:sz w:val="22"/>
                <w:szCs w:val="22"/>
                <w:lang w:val="es-CO"/>
              </w:rPr>
            </w:pPr>
            <w:r w:rsidRPr="007E5C84">
              <w:rPr>
                <w:rFonts w:ascii="Arial Narrow" w:hAnsi="Arial Narrow" w:cs="Arial"/>
                <w:color w:val="000000"/>
                <w:sz w:val="22"/>
                <w:szCs w:val="22"/>
                <w:lang w:val="es-CO"/>
              </w:rPr>
              <w:t>Territorio Colombiano</w:t>
            </w:r>
          </w:p>
          <w:p w14:paraId="292D11BE" w14:textId="77777777" w:rsidR="000C0C3C" w:rsidRPr="00335069" w:rsidRDefault="000C0C3C" w:rsidP="000C0C3C">
            <w:pPr>
              <w:jc w:val="both"/>
              <w:rPr>
                <w:rFonts w:ascii="Arial Narrow" w:hAnsi="Arial Narrow" w:cs="Arial"/>
                <w:color w:val="000000"/>
                <w:sz w:val="12"/>
                <w:szCs w:val="22"/>
                <w:lang w:val="es-CO"/>
              </w:rPr>
            </w:pPr>
          </w:p>
          <w:p w14:paraId="410E7C44" w14:textId="77777777" w:rsidR="000C0C3C" w:rsidRDefault="000C0C3C" w:rsidP="000C0C3C">
            <w:pPr>
              <w:jc w:val="both"/>
              <w:rPr>
                <w:rFonts w:ascii="Arial Narrow" w:hAnsi="Arial Narrow" w:cs="Arial"/>
                <w:b/>
                <w:color w:val="000000"/>
                <w:sz w:val="22"/>
                <w:szCs w:val="22"/>
                <w:lang w:val="es-CO"/>
              </w:rPr>
            </w:pPr>
            <w:r w:rsidRPr="007E5C84">
              <w:rPr>
                <w:rFonts w:ascii="Arial Narrow" w:hAnsi="Arial Narrow" w:cs="Arial"/>
                <w:b/>
                <w:color w:val="000000"/>
                <w:sz w:val="22"/>
                <w:szCs w:val="22"/>
                <w:lang w:val="es-CO"/>
              </w:rPr>
              <w:t>Sujetos a quienes va dirigido a:</w:t>
            </w:r>
          </w:p>
          <w:p w14:paraId="63C2192A" w14:textId="77777777" w:rsidR="000C0C3C" w:rsidRPr="007E5C84" w:rsidRDefault="000C0C3C" w:rsidP="000C0C3C">
            <w:pPr>
              <w:jc w:val="both"/>
              <w:rPr>
                <w:rFonts w:ascii="Arial Narrow" w:hAnsi="Arial Narrow" w:cs="Arial"/>
                <w:b/>
                <w:color w:val="000000"/>
                <w:sz w:val="22"/>
                <w:szCs w:val="22"/>
                <w:lang w:val="es-CO"/>
              </w:rPr>
            </w:pPr>
          </w:p>
          <w:p w14:paraId="284C3FA5" w14:textId="77777777" w:rsidR="000C0C3C" w:rsidRPr="00FE226B" w:rsidRDefault="000C0C3C" w:rsidP="000C0C3C">
            <w:pPr>
              <w:numPr>
                <w:ilvl w:val="0"/>
                <w:numId w:val="46"/>
              </w:numPr>
              <w:autoSpaceDE w:val="0"/>
              <w:autoSpaceDN w:val="0"/>
              <w:adjustRightInd w:val="0"/>
              <w:jc w:val="both"/>
              <w:rPr>
                <w:rFonts w:ascii="Arial Narrow" w:hAnsi="Arial Narrow" w:cs="Arial"/>
                <w:sz w:val="22"/>
                <w:szCs w:val="22"/>
              </w:rPr>
            </w:pPr>
            <w:r w:rsidRPr="006F1515">
              <w:rPr>
                <w:rFonts w:ascii="Arial Narrow" w:hAnsi="Arial Narrow" w:cs="Arial"/>
                <w:bCs/>
                <w:sz w:val="22"/>
                <w:szCs w:val="22"/>
              </w:rPr>
              <w:t xml:space="preserve">Serán beneficiarios del Incentivo a la Creación y Permanencia de Nuevos Empleos Formales, las personas naturales, las personas jurídicas, los consorcios, las uniones temporales, los patrimonios autónomos y las cooperativas, que demuestren su calidad de empleador mediante la Planilla Integrada de Liquidación de Aportes -PILA; y las cooperativas de trabajo asociado que hayan cotizado, respecto de sus trabajadores asociados, el mes completo al Sistema de Seguridad Social Integral. </w:t>
            </w:r>
          </w:p>
          <w:p w14:paraId="0B1A10DF" w14:textId="77777777" w:rsidR="000C0C3C" w:rsidRPr="009F7CED" w:rsidRDefault="000C0C3C" w:rsidP="000C0C3C">
            <w:pPr>
              <w:rPr>
                <w:rFonts w:cs="Arial"/>
                <w:iCs/>
                <w:color w:val="000000"/>
                <w:sz w:val="22"/>
                <w:szCs w:val="22"/>
              </w:rPr>
            </w:pPr>
          </w:p>
        </w:tc>
      </w:tr>
      <w:tr w:rsidR="000C0C3C" w:rsidRPr="009F7CED" w14:paraId="2379D011" w14:textId="77777777" w:rsidTr="0075705D">
        <w:trPr>
          <w:trHeight w:val="278"/>
        </w:trPr>
        <w:tc>
          <w:tcPr>
            <w:tcW w:w="10774" w:type="dxa"/>
            <w:gridSpan w:val="3"/>
            <w:tcBorders>
              <w:bottom w:val="single" w:sz="4" w:space="0" w:color="auto"/>
            </w:tcBorders>
            <w:shd w:val="clear" w:color="auto" w:fill="FFFFFF"/>
            <w:vAlign w:val="center"/>
          </w:tcPr>
          <w:p w14:paraId="346B5D44" w14:textId="77777777" w:rsidR="000C0C3C" w:rsidRDefault="000C0C3C" w:rsidP="000C0C3C">
            <w:pPr>
              <w:numPr>
                <w:ilvl w:val="0"/>
                <w:numId w:val="44"/>
              </w:numPr>
              <w:rPr>
                <w:rFonts w:ascii="Arial Narrow" w:hAnsi="Arial Narrow" w:cs="Arial"/>
                <w:b/>
                <w:bCs/>
                <w:sz w:val="24"/>
                <w:szCs w:val="24"/>
                <w:lang w:val="es-CO" w:eastAsia="es-CO"/>
              </w:rPr>
            </w:pPr>
            <w:r w:rsidRPr="00BE77F4">
              <w:rPr>
                <w:rFonts w:ascii="Arial Narrow" w:hAnsi="Arial Narrow" w:cs="Arial"/>
                <w:b/>
                <w:bCs/>
                <w:sz w:val="24"/>
                <w:szCs w:val="24"/>
                <w:lang w:val="es-CO" w:eastAsia="es-CO"/>
              </w:rPr>
              <w:t>VIABILIDAD JURÍDICA</w:t>
            </w:r>
          </w:p>
          <w:p w14:paraId="15E5C190" w14:textId="77777777" w:rsidR="000C0C3C" w:rsidRPr="00BE77F4" w:rsidRDefault="000C0C3C" w:rsidP="000C0C3C">
            <w:pPr>
              <w:ind w:left="720"/>
              <w:rPr>
                <w:rFonts w:ascii="Arial Narrow" w:hAnsi="Arial Narrow" w:cs="Arial"/>
                <w:b/>
                <w:bCs/>
                <w:sz w:val="24"/>
                <w:szCs w:val="24"/>
                <w:lang w:val="es-CO" w:eastAsia="es-CO"/>
              </w:rPr>
            </w:pPr>
          </w:p>
          <w:p w14:paraId="2A3F6C35" w14:textId="77777777" w:rsidR="000C0C3C" w:rsidRDefault="000C0C3C" w:rsidP="000C0C3C">
            <w:pPr>
              <w:jc w:val="both"/>
              <w:rPr>
                <w:rFonts w:ascii="Arial Narrow" w:hAnsi="Arial Narrow" w:cs="Arial"/>
                <w:b/>
                <w:sz w:val="24"/>
                <w:szCs w:val="24"/>
                <w:lang w:val="es-CO" w:eastAsia="es-CO"/>
              </w:rPr>
            </w:pPr>
            <w:r w:rsidRPr="00BE77F4">
              <w:rPr>
                <w:rFonts w:ascii="Arial Narrow" w:hAnsi="Arial Narrow" w:cs="Arial"/>
                <w:b/>
                <w:sz w:val="24"/>
                <w:szCs w:val="24"/>
                <w:lang w:val="es-CO" w:eastAsia="es-CO"/>
              </w:rPr>
              <w:t>Análisis de las normas que otorgan la competencia para la expedición del proyecto normativo</w:t>
            </w:r>
          </w:p>
          <w:p w14:paraId="5E26FE40" w14:textId="77777777" w:rsidR="000C0C3C" w:rsidRPr="00BE77F4" w:rsidRDefault="000C0C3C" w:rsidP="000C0C3C">
            <w:pPr>
              <w:jc w:val="both"/>
              <w:rPr>
                <w:rFonts w:ascii="Arial Narrow" w:hAnsi="Arial Narrow" w:cs="Arial"/>
                <w:b/>
                <w:sz w:val="24"/>
                <w:szCs w:val="24"/>
                <w:lang w:val="es-CO" w:eastAsia="es-CO"/>
              </w:rPr>
            </w:pPr>
          </w:p>
          <w:p w14:paraId="18F4C4A7" w14:textId="77777777" w:rsidR="000C0C3C" w:rsidRDefault="000C0C3C" w:rsidP="000C0C3C">
            <w:pPr>
              <w:contextualSpacing/>
              <w:jc w:val="both"/>
              <w:rPr>
                <w:rFonts w:ascii="Arial Narrow" w:hAnsi="Arial Narrow" w:cs="Arial"/>
                <w:sz w:val="24"/>
                <w:szCs w:val="24"/>
                <w:lang w:val="es-CO" w:eastAsia="es-CO"/>
              </w:rPr>
            </w:pPr>
            <w:r>
              <w:rPr>
                <w:rFonts w:ascii="Arial Narrow" w:hAnsi="Arial Narrow" w:cs="Arial"/>
                <w:sz w:val="24"/>
                <w:szCs w:val="24"/>
                <w:lang w:val="es-CO" w:eastAsia="es-CO"/>
              </w:rPr>
              <w:lastRenderedPageBreak/>
              <w:t xml:space="preserve">El artículo 79 de la Ley 2294 de 2023 </w:t>
            </w:r>
            <w:r w:rsidRPr="006F1515">
              <w:rPr>
                <w:rFonts w:ascii="Arial Narrow" w:hAnsi="Arial Narrow" w:cs="Arial"/>
                <w:sz w:val="24"/>
                <w:szCs w:val="24"/>
                <w:lang w:val="es-CO" w:eastAsia="es-CO"/>
              </w:rPr>
              <w:t>“</w:t>
            </w:r>
            <w:r w:rsidRPr="00DA1FBB">
              <w:rPr>
                <w:rFonts w:ascii="Arial Narrow" w:hAnsi="Arial Narrow" w:cs="Arial"/>
                <w:i/>
                <w:iCs/>
                <w:sz w:val="24"/>
                <w:szCs w:val="24"/>
                <w:lang w:val="es-CO" w:eastAsia="es-CO"/>
              </w:rPr>
              <w:t>por medio de la cual se expide el Plan Nacional de Desarrollo 2022 – 2026 ´Colombia Potencia Mundial de la Vida´”</w:t>
            </w:r>
            <w:r w:rsidRPr="006F1515">
              <w:rPr>
                <w:rFonts w:ascii="Arial Narrow" w:hAnsi="Arial Narrow" w:cs="Arial"/>
                <w:sz w:val="24"/>
                <w:szCs w:val="24"/>
                <w:lang w:val="es-CO" w:eastAsia="es-CO"/>
              </w:rPr>
              <w:t xml:space="preserve">, relativo al Incentivo a la Creación y Permanencia de Nuevos Empleos Formales, </w:t>
            </w:r>
            <w:r>
              <w:rPr>
                <w:rFonts w:ascii="Arial Narrow" w:hAnsi="Arial Narrow" w:cs="Arial"/>
                <w:sz w:val="24"/>
                <w:szCs w:val="24"/>
                <w:lang w:val="es-CO" w:eastAsia="es-CO"/>
              </w:rPr>
              <w:t>dispone lo siguiente:</w:t>
            </w:r>
          </w:p>
          <w:p w14:paraId="012907A0" w14:textId="77777777" w:rsidR="000C0C3C" w:rsidRDefault="000C0C3C" w:rsidP="000C0C3C">
            <w:pPr>
              <w:contextualSpacing/>
              <w:jc w:val="both"/>
              <w:rPr>
                <w:rFonts w:ascii="Arial Narrow" w:hAnsi="Arial Narrow" w:cs="Arial"/>
                <w:sz w:val="24"/>
                <w:szCs w:val="24"/>
                <w:lang w:val="es-CO" w:eastAsia="es-CO"/>
              </w:rPr>
            </w:pPr>
          </w:p>
          <w:p w14:paraId="1E162725" w14:textId="77777777" w:rsidR="000C0C3C" w:rsidRPr="006F1515" w:rsidRDefault="000C0C3C" w:rsidP="000C0C3C">
            <w:pPr>
              <w:contextualSpacing/>
              <w:jc w:val="both"/>
              <w:rPr>
                <w:rFonts w:ascii="Arial Narrow" w:hAnsi="Arial Narrow" w:cs="Arial"/>
                <w:i/>
                <w:iCs/>
                <w:sz w:val="24"/>
                <w:szCs w:val="24"/>
                <w:lang w:val="es-CO" w:eastAsia="es-CO"/>
              </w:rPr>
            </w:pPr>
            <w:r w:rsidRPr="006F1515">
              <w:rPr>
                <w:rFonts w:ascii="Arial Narrow" w:hAnsi="Arial Narrow" w:cs="Arial"/>
                <w:i/>
                <w:iCs/>
                <w:sz w:val="24"/>
                <w:szCs w:val="24"/>
                <w:lang w:val="es-CO" w:eastAsia="es-CO"/>
              </w:rPr>
              <w:t>“ARTÍCULO 79. INCENTIVO A LA CREACIÓN Y PERMANENCIA DE NUEVOS EMPLEOS FORMALES. Con el objetivo de dar continuidad a las medidas encaminadas a la promoción, generación y protección del empleo formal, el incentivo a la generación de nuevo empleo definido en el artículo 24 de la Ley 2155 de 2021, se ampliará a los empleadores que vinculen a trabajadores con discapacidad y podrá extenderse hasta agosto de 2026. El Gobierno nacional evaluará la pertinencia de su continuidad, de acuerdo con los resultados de los estudios técnicos realizados por las entidades públicas sectoriales, y podrá rediseñar los requisitos de acceso y permanencia, las poblaciones beneficiarias, los montos y mecanismos para otorgar el incentivo y los demás aspectos necesarios para su implementación.</w:t>
            </w:r>
          </w:p>
          <w:p w14:paraId="52E87BC0" w14:textId="77777777" w:rsidR="000C0C3C" w:rsidRPr="006F1515" w:rsidRDefault="000C0C3C" w:rsidP="000C0C3C">
            <w:pPr>
              <w:contextualSpacing/>
              <w:jc w:val="both"/>
              <w:rPr>
                <w:rFonts w:ascii="Arial Narrow" w:hAnsi="Arial Narrow" w:cs="Arial"/>
                <w:i/>
                <w:iCs/>
                <w:sz w:val="24"/>
                <w:szCs w:val="24"/>
                <w:lang w:val="es-CO" w:eastAsia="es-CO"/>
              </w:rPr>
            </w:pPr>
          </w:p>
          <w:p w14:paraId="3BE05AC4" w14:textId="77777777" w:rsidR="000C0C3C" w:rsidRPr="006F1515" w:rsidRDefault="000C0C3C" w:rsidP="000C0C3C">
            <w:pPr>
              <w:contextualSpacing/>
              <w:jc w:val="both"/>
              <w:rPr>
                <w:rFonts w:ascii="Arial Narrow" w:hAnsi="Arial Narrow" w:cs="Arial"/>
                <w:i/>
                <w:iCs/>
                <w:sz w:val="24"/>
                <w:szCs w:val="24"/>
                <w:lang w:val="es-CO" w:eastAsia="es-CO"/>
              </w:rPr>
            </w:pPr>
            <w:r w:rsidRPr="006F1515">
              <w:rPr>
                <w:rFonts w:ascii="Arial Narrow" w:hAnsi="Arial Narrow" w:cs="Arial"/>
                <w:i/>
                <w:iCs/>
                <w:sz w:val="24"/>
                <w:szCs w:val="24"/>
                <w:lang w:val="es-CO" w:eastAsia="es-CO"/>
              </w:rPr>
              <w:t>El Ministerio del Trabajo ejercerá la ordenación del gasto. Sin perjuicio de lo anterior, las demás entidades del orden nacional, en articulación con entidades territoriales, podrán destinar los recursos de acuerdo con sus disponibilidades presupuestales, en el Marco fiscal de mediano plazo y el Marco de Gasto de mediano plazo, para la debida ejecución de cada programa. Para tal efecto, se podrán efectuar las modificaciones presupuestales, institucionales u operativas a que haya lugar.</w:t>
            </w:r>
          </w:p>
          <w:p w14:paraId="2906E37A" w14:textId="77777777" w:rsidR="000C0C3C" w:rsidRPr="006F1515" w:rsidRDefault="000C0C3C" w:rsidP="000C0C3C">
            <w:pPr>
              <w:contextualSpacing/>
              <w:jc w:val="both"/>
              <w:rPr>
                <w:rFonts w:ascii="Arial Narrow" w:hAnsi="Arial Narrow" w:cs="Arial"/>
                <w:i/>
                <w:iCs/>
                <w:sz w:val="24"/>
                <w:szCs w:val="24"/>
                <w:lang w:val="es-CO" w:eastAsia="es-CO"/>
              </w:rPr>
            </w:pPr>
          </w:p>
          <w:p w14:paraId="085183BC" w14:textId="77777777" w:rsidR="000C0C3C" w:rsidRPr="006F1515" w:rsidRDefault="000C0C3C" w:rsidP="000C0C3C">
            <w:pPr>
              <w:contextualSpacing/>
              <w:jc w:val="both"/>
              <w:rPr>
                <w:rFonts w:ascii="Arial Narrow" w:hAnsi="Arial Narrow" w:cs="Arial"/>
                <w:i/>
                <w:iCs/>
                <w:sz w:val="24"/>
                <w:szCs w:val="24"/>
                <w:lang w:val="es-CO" w:eastAsia="es-CO"/>
              </w:rPr>
            </w:pPr>
            <w:r w:rsidRPr="006F1515">
              <w:rPr>
                <w:rFonts w:ascii="Arial Narrow" w:hAnsi="Arial Narrow" w:cs="Arial"/>
                <w:i/>
                <w:iCs/>
                <w:sz w:val="24"/>
                <w:szCs w:val="24"/>
                <w:lang w:val="es-CO" w:eastAsia="es-CO"/>
              </w:rPr>
              <w:t>La validación del cumplimiento de los requisitos establecidos para los diferentes programas y su posterior fiscalización, estarán a cargo de la Unidad de Gestión Pensional y Aportes Parafiscales -UGPP, de acuerdo con la reglamentación que para el efecto expida el Ministerio del Trabajo.</w:t>
            </w:r>
          </w:p>
          <w:p w14:paraId="3A37708E" w14:textId="77777777" w:rsidR="000C0C3C" w:rsidRPr="006F1515" w:rsidRDefault="000C0C3C" w:rsidP="000C0C3C">
            <w:pPr>
              <w:contextualSpacing/>
              <w:jc w:val="both"/>
              <w:rPr>
                <w:rFonts w:ascii="Arial Narrow" w:hAnsi="Arial Narrow" w:cs="Arial"/>
                <w:i/>
                <w:iCs/>
                <w:sz w:val="24"/>
                <w:szCs w:val="24"/>
                <w:lang w:val="es-CO" w:eastAsia="es-CO"/>
              </w:rPr>
            </w:pPr>
          </w:p>
          <w:p w14:paraId="7BE5C655" w14:textId="77777777" w:rsidR="000C0C3C" w:rsidRPr="006F1515" w:rsidRDefault="000C0C3C" w:rsidP="000C0C3C">
            <w:pPr>
              <w:contextualSpacing/>
              <w:jc w:val="both"/>
              <w:rPr>
                <w:rFonts w:ascii="Arial Narrow" w:hAnsi="Arial Narrow" w:cs="Arial"/>
                <w:i/>
                <w:iCs/>
                <w:sz w:val="24"/>
                <w:szCs w:val="24"/>
                <w:lang w:val="es-CO" w:eastAsia="es-CO"/>
              </w:rPr>
            </w:pPr>
            <w:r w:rsidRPr="006F1515">
              <w:rPr>
                <w:rFonts w:ascii="Arial Narrow" w:hAnsi="Arial Narrow" w:cs="Arial"/>
                <w:i/>
                <w:iCs/>
                <w:sz w:val="24"/>
                <w:szCs w:val="24"/>
                <w:lang w:val="es-CO" w:eastAsia="es-CO"/>
              </w:rPr>
              <w:t>PARÁGRAFO. Para cumplir lo dispuesto en el presente artículo, la persona beneficiaria deberá permanecer en la empresa por un tiempo mínimo de 6 meses.”</w:t>
            </w:r>
          </w:p>
          <w:p w14:paraId="38F6A769" w14:textId="77777777" w:rsidR="000C0C3C" w:rsidRDefault="000C0C3C" w:rsidP="000C0C3C">
            <w:pPr>
              <w:contextualSpacing/>
              <w:jc w:val="both"/>
              <w:rPr>
                <w:rFonts w:ascii="Arial Narrow" w:hAnsi="Arial Narrow" w:cs="Arial"/>
                <w:sz w:val="24"/>
                <w:szCs w:val="24"/>
                <w:lang w:val="es-CO" w:eastAsia="es-CO"/>
              </w:rPr>
            </w:pPr>
          </w:p>
          <w:p w14:paraId="69813CC9" w14:textId="77777777" w:rsidR="000C0C3C" w:rsidRDefault="000C0C3C" w:rsidP="000C0C3C">
            <w:pPr>
              <w:contextualSpacing/>
              <w:jc w:val="both"/>
              <w:rPr>
                <w:rFonts w:ascii="Arial Narrow" w:hAnsi="Arial Narrow" w:cs="Arial"/>
                <w:sz w:val="24"/>
                <w:szCs w:val="24"/>
                <w:lang w:val="es-CO" w:eastAsia="es-CO"/>
              </w:rPr>
            </w:pPr>
            <w:commentRangeStart w:id="0"/>
            <w:r>
              <w:rPr>
                <w:rFonts w:ascii="Arial Narrow" w:hAnsi="Arial Narrow" w:cs="Arial"/>
                <w:sz w:val="24"/>
                <w:szCs w:val="24"/>
                <w:lang w:val="es-CO" w:eastAsia="es-CO"/>
              </w:rPr>
              <w:t>De acuerdo con lo anterior, y teniendo en cuenta los estudios adelantados por el Departamento Nacional de Planeación -DNP- sobre los resultados obtenidos durante la implementación del Incentivo a la creación de nuevos empleos contemplado en el artículo 24 de la Ley 2155 de 2021, el Gobierno nacional, en cabeza del Ministerio del Trabajo, ha considerado la viabilidad de ampliar la vigencia del Incentivo, de acuerdo con lo dispuesto en el artículo 79 de la Ley 2294 de 2023, ampliando su vigencia hasta el año 2026 e incluyendo la entrega del incentivo para aquellos empleadores que vinculen Personas con Discapacidad -</w:t>
            </w:r>
            <w:proofErr w:type="spellStart"/>
            <w:r>
              <w:rPr>
                <w:rFonts w:ascii="Arial Narrow" w:hAnsi="Arial Narrow" w:cs="Arial"/>
                <w:sz w:val="24"/>
                <w:szCs w:val="24"/>
                <w:lang w:val="es-CO" w:eastAsia="es-CO"/>
              </w:rPr>
              <w:t>PcD</w:t>
            </w:r>
            <w:proofErr w:type="spellEnd"/>
            <w:r>
              <w:rPr>
                <w:rFonts w:ascii="Arial Narrow" w:hAnsi="Arial Narrow" w:cs="Arial"/>
                <w:sz w:val="24"/>
                <w:szCs w:val="24"/>
                <w:lang w:val="es-CO" w:eastAsia="es-CO"/>
              </w:rPr>
              <w:t xml:space="preserve">-, a las cuales se les va a reconocer un incentivo especial, dadas las dificultades que este grupo poblacional tiene actualmente para vincularse al mercado laboral, para lo cual se ha valorado un cambio en los porcentajes que se reconocen sobre el Salario Mínimo Legal Mensual Vigente -SMLMV- por la vinculación de cada trabajador y según el grupo poblacional al cual pertenezca. </w:t>
            </w:r>
            <w:commentRangeEnd w:id="0"/>
            <w:r>
              <w:rPr>
                <w:rStyle w:val="Refdecomentario"/>
              </w:rPr>
              <w:commentReference w:id="0"/>
            </w:r>
          </w:p>
          <w:p w14:paraId="1E05DC77" w14:textId="77777777" w:rsidR="000C0C3C" w:rsidRDefault="000C0C3C" w:rsidP="000C0C3C">
            <w:pPr>
              <w:contextualSpacing/>
              <w:jc w:val="both"/>
              <w:rPr>
                <w:rFonts w:ascii="Arial Narrow" w:hAnsi="Arial Narrow" w:cs="Arial"/>
                <w:sz w:val="24"/>
                <w:szCs w:val="24"/>
                <w:lang w:val="es-CO" w:eastAsia="es-CO"/>
              </w:rPr>
            </w:pPr>
          </w:p>
          <w:p w14:paraId="61E774DB" w14:textId="77777777" w:rsidR="000C0C3C" w:rsidRDefault="000C0C3C" w:rsidP="000C0C3C">
            <w:pPr>
              <w:contextualSpacing/>
              <w:jc w:val="both"/>
              <w:rPr>
                <w:rFonts w:ascii="Arial Narrow" w:hAnsi="Arial Narrow" w:cs="Arial"/>
                <w:sz w:val="24"/>
                <w:szCs w:val="24"/>
                <w:lang w:val="es-CO" w:eastAsia="es-CO"/>
              </w:rPr>
            </w:pPr>
            <w:r>
              <w:rPr>
                <w:rFonts w:ascii="Arial Narrow" w:hAnsi="Arial Narrow" w:cs="Arial"/>
                <w:sz w:val="24"/>
                <w:szCs w:val="24"/>
                <w:lang w:val="es-CO" w:eastAsia="es-CO"/>
              </w:rPr>
              <w:t xml:space="preserve">Por otra parte, el artículo 24 de la Ley 2155 de 2021 también se encuentra vigente. Dicho artículo dispone que el Incentivo a la creación de nuevos empleos estará vigente hasta el mes de agosto de 2023, momento en el cual el Gobierno nacional debe </w:t>
            </w:r>
            <w:r w:rsidRPr="00907C47">
              <w:rPr>
                <w:rFonts w:ascii="Arial Narrow" w:hAnsi="Arial Narrow" w:cs="Arial"/>
                <w:sz w:val="24"/>
                <w:szCs w:val="24"/>
                <w:lang w:val="es-CO" w:eastAsia="es-CO"/>
              </w:rPr>
              <w:t xml:space="preserve">evaluar la pertinencia de su continuidad, de acuerdo con los resultados de los estudios técnicos realizados por las entidades públicas sectoriales, </w:t>
            </w:r>
            <w:r>
              <w:rPr>
                <w:rFonts w:ascii="Arial Narrow" w:hAnsi="Arial Narrow" w:cs="Arial"/>
                <w:sz w:val="24"/>
                <w:szCs w:val="24"/>
                <w:lang w:val="es-CO" w:eastAsia="es-CO"/>
              </w:rPr>
              <w:t>para lo cual p</w:t>
            </w:r>
            <w:r w:rsidRPr="00907C47">
              <w:rPr>
                <w:rFonts w:ascii="Arial Narrow" w:hAnsi="Arial Narrow" w:cs="Arial"/>
                <w:sz w:val="24"/>
                <w:szCs w:val="24"/>
                <w:lang w:val="es-CO" w:eastAsia="es-CO"/>
              </w:rPr>
              <w:t>odrá rediseñar los requisitos de acceso y permanencia, las poblaciones beneficiarias, los montos y mecanismos para otorgar el incentivo y los demás aspectos necesarios para su implementación.</w:t>
            </w:r>
          </w:p>
          <w:p w14:paraId="077AD52C" w14:textId="77777777" w:rsidR="000C0C3C" w:rsidRDefault="000C0C3C" w:rsidP="000C0C3C">
            <w:pPr>
              <w:contextualSpacing/>
              <w:jc w:val="both"/>
              <w:rPr>
                <w:rFonts w:ascii="Arial Narrow" w:hAnsi="Arial Narrow" w:cs="Arial"/>
                <w:sz w:val="24"/>
                <w:szCs w:val="24"/>
                <w:lang w:val="es-CO" w:eastAsia="es-CO"/>
              </w:rPr>
            </w:pPr>
          </w:p>
          <w:p w14:paraId="0E50A3C6" w14:textId="77777777" w:rsidR="000C0C3C" w:rsidRDefault="000C0C3C" w:rsidP="000C0C3C">
            <w:pPr>
              <w:contextualSpacing/>
              <w:jc w:val="both"/>
              <w:rPr>
                <w:rFonts w:ascii="Arial Narrow" w:hAnsi="Arial Narrow" w:cs="Arial"/>
                <w:sz w:val="24"/>
                <w:szCs w:val="24"/>
                <w:lang w:val="es-CO" w:eastAsia="es-CO"/>
              </w:rPr>
            </w:pPr>
            <w:r>
              <w:rPr>
                <w:rFonts w:ascii="Arial Narrow" w:hAnsi="Arial Narrow" w:cs="Arial"/>
                <w:sz w:val="24"/>
                <w:szCs w:val="24"/>
                <w:lang w:val="es-CO" w:eastAsia="es-CO"/>
              </w:rPr>
              <w:t xml:space="preserve">En cuanto otros aspectos establecidos en el artículo 24 de la Ley 2155 de 2021, tales como </w:t>
            </w:r>
            <w:r w:rsidRPr="0008620D">
              <w:rPr>
                <w:rFonts w:ascii="Arial Narrow" w:hAnsi="Arial Narrow" w:cs="Arial"/>
                <w:sz w:val="24"/>
                <w:szCs w:val="24"/>
                <w:lang w:val="es-CO" w:eastAsia="es-CO"/>
              </w:rPr>
              <w:t>los requisitos de acceso y permanencia, l</w:t>
            </w:r>
            <w:r>
              <w:rPr>
                <w:rFonts w:ascii="Arial Narrow" w:hAnsi="Arial Narrow" w:cs="Arial"/>
                <w:sz w:val="24"/>
                <w:szCs w:val="24"/>
                <w:lang w:val="es-CO" w:eastAsia="es-CO"/>
              </w:rPr>
              <w:t>a</w:t>
            </w:r>
            <w:r w:rsidRPr="0008620D">
              <w:rPr>
                <w:rFonts w:ascii="Arial Narrow" w:hAnsi="Arial Narrow" w:cs="Arial"/>
                <w:sz w:val="24"/>
                <w:szCs w:val="24"/>
                <w:lang w:val="es-CO" w:eastAsia="es-CO"/>
              </w:rPr>
              <w:t>s poblaciones beneficiarias</w:t>
            </w:r>
            <w:r>
              <w:rPr>
                <w:rFonts w:ascii="Arial Narrow" w:hAnsi="Arial Narrow" w:cs="Arial"/>
                <w:sz w:val="24"/>
                <w:szCs w:val="24"/>
                <w:lang w:val="es-CO" w:eastAsia="es-CO"/>
              </w:rPr>
              <w:t>, los tipos de trabajadores por los que se reconoce</w:t>
            </w:r>
            <w:r w:rsidRPr="0008620D">
              <w:rPr>
                <w:rFonts w:ascii="Arial Narrow" w:hAnsi="Arial Narrow" w:cs="Arial"/>
                <w:sz w:val="24"/>
                <w:szCs w:val="24"/>
                <w:lang w:val="es-CO" w:eastAsia="es-CO"/>
              </w:rPr>
              <w:t xml:space="preserve">, los montos y mecanismos para </w:t>
            </w:r>
            <w:r>
              <w:rPr>
                <w:rFonts w:ascii="Arial Narrow" w:hAnsi="Arial Narrow" w:cs="Arial"/>
                <w:sz w:val="24"/>
                <w:szCs w:val="24"/>
                <w:lang w:val="es-CO" w:eastAsia="es-CO"/>
              </w:rPr>
              <w:t xml:space="preserve">su otorgamiento, su vigencia, </w:t>
            </w:r>
            <w:r w:rsidRPr="0008620D">
              <w:rPr>
                <w:rFonts w:ascii="Arial Narrow" w:hAnsi="Arial Narrow" w:cs="Arial"/>
                <w:sz w:val="24"/>
                <w:szCs w:val="24"/>
                <w:lang w:val="es-CO" w:eastAsia="es-CO"/>
              </w:rPr>
              <w:t xml:space="preserve">el parámetro de referencia para determinar la existencia de trabajadores adicionales y </w:t>
            </w:r>
            <w:r w:rsidRPr="0008620D">
              <w:rPr>
                <w:rFonts w:ascii="Arial Narrow" w:hAnsi="Arial Narrow" w:cs="Arial"/>
                <w:sz w:val="24"/>
                <w:szCs w:val="24"/>
                <w:lang w:val="es-CO" w:eastAsia="es-CO"/>
              </w:rPr>
              <w:lastRenderedPageBreak/>
              <w:t>los demás aspectos necesarios para su implementación</w:t>
            </w:r>
            <w:r>
              <w:rPr>
                <w:rFonts w:ascii="Arial Narrow" w:hAnsi="Arial Narrow" w:cs="Arial"/>
                <w:sz w:val="24"/>
                <w:szCs w:val="24"/>
                <w:lang w:val="es-CO" w:eastAsia="es-CO"/>
              </w:rPr>
              <w:t>, han sido ajustados de acuerdo con las valoraciones obtenidas de los estudios adelantados por el DNP.</w:t>
            </w:r>
          </w:p>
          <w:p w14:paraId="46A78B8A" w14:textId="77777777" w:rsidR="000C0C3C" w:rsidRDefault="000C0C3C" w:rsidP="000C0C3C">
            <w:pPr>
              <w:contextualSpacing/>
              <w:jc w:val="both"/>
              <w:rPr>
                <w:rFonts w:ascii="Arial Narrow" w:hAnsi="Arial Narrow" w:cs="Arial"/>
                <w:sz w:val="24"/>
                <w:szCs w:val="24"/>
                <w:lang w:val="es-CO" w:eastAsia="es-CO"/>
              </w:rPr>
            </w:pPr>
          </w:p>
          <w:p w14:paraId="24A11835" w14:textId="77777777" w:rsidR="000C0C3C" w:rsidRDefault="000C0C3C" w:rsidP="000C0C3C">
            <w:pPr>
              <w:contextualSpacing/>
              <w:jc w:val="both"/>
              <w:rPr>
                <w:rFonts w:ascii="Arial Narrow" w:hAnsi="Arial Narrow" w:cs="Arial"/>
                <w:sz w:val="24"/>
                <w:szCs w:val="24"/>
                <w:lang w:val="es-CO" w:eastAsia="es-CO"/>
              </w:rPr>
            </w:pPr>
            <w:r>
              <w:rPr>
                <w:rFonts w:ascii="Arial Narrow" w:hAnsi="Arial Narrow" w:cs="Arial"/>
                <w:sz w:val="24"/>
                <w:szCs w:val="24"/>
                <w:lang w:val="es-CO" w:eastAsia="es-CO"/>
              </w:rPr>
              <w:t xml:space="preserve">Finalmente, y teniendo en cuenta que el artículo 79 de la Ley 2294 de 2023 (PND 2022 – 2026) contempla también la finalidad de incentivar la permanencia en el nuevo empleo formal, se ha considerado la posibilidad de que se reconozca un porcentaje adicional sobre el incentivo otorgado durante los primeros 6 meses, con el fin de que el empleador decida mantener al trabajador por más tiempo, recibiendo hasta por 24 veces el beneficio económico. Así, durante los primeros seis (6) meses se reconoce un beneficio económico (25% de SMMLV por vinculación de jóvenes; 15% de SMMLV por vinculación de mujeres mayores de 28 años que devengan hasta 3 SMMLV; 10% de SMMLV por vinculación de hombres mayores de 28 años que devengan hasta 3 SMMLV; y 30% de SMMLV por vinculación de personas con discapacidad); </w:t>
            </w:r>
            <w:r w:rsidRPr="00E15FDE">
              <w:rPr>
                <w:rFonts w:ascii="Arial Narrow" w:hAnsi="Arial Narrow" w:cs="Arial"/>
                <w:sz w:val="24"/>
                <w:szCs w:val="24"/>
                <w:lang w:val="es-CO" w:eastAsia="es-CO"/>
              </w:rPr>
              <w:t>y por mantener la contratación de éstos desde el mes siete (7) y hasta el mes veinticuatro (24), el empleador recibir</w:t>
            </w:r>
            <w:r>
              <w:rPr>
                <w:rFonts w:ascii="Arial Narrow" w:hAnsi="Arial Narrow" w:cs="Arial"/>
                <w:sz w:val="24"/>
                <w:szCs w:val="24"/>
                <w:lang w:val="es-CO" w:eastAsia="es-CO"/>
              </w:rPr>
              <w:t xml:space="preserve">á dicho incentivo con un incremento de cinco por ciento </w:t>
            </w:r>
            <w:r w:rsidRPr="00E15FDE">
              <w:rPr>
                <w:rFonts w:ascii="Arial Narrow" w:hAnsi="Arial Narrow" w:cs="Arial"/>
                <w:sz w:val="24"/>
                <w:szCs w:val="24"/>
                <w:lang w:val="es-CO" w:eastAsia="es-CO"/>
              </w:rPr>
              <w:t>un (1) SMMLV.</w:t>
            </w:r>
          </w:p>
          <w:p w14:paraId="532A7262" w14:textId="77777777" w:rsidR="000C0C3C" w:rsidRDefault="000C0C3C" w:rsidP="000C0C3C">
            <w:pPr>
              <w:contextualSpacing/>
              <w:jc w:val="both"/>
              <w:rPr>
                <w:rFonts w:ascii="Arial Narrow" w:hAnsi="Arial Narrow" w:cs="Arial"/>
                <w:sz w:val="24"/>
                <w:szCs w:val="24"/>
                <w:lang w:val="es-CO" w:eastAsia="es-CO"/>
              </w:rPr>
            </w:pPr>
          </w:p>
          <w:p w14:paraId="1E72FE3C" w14:textId="77777777" w:rsidR="000C0C3C" w:rsidRDefault="000C0C3C" w:rsidP="000C0C3C">
            <w:pPr>
              <w:contextualSpacing/>
              <w:jc w:val="both"/>
              <w:rPr>
                <w:rFonts w:ascii="Arial Narrow" w:hAnsi="Arial Narrow" w:cs="Arial"/>
                <w:sz w:val="24"/>
                <w:szCs w:val="24"/>
                <w:lang w:val="es-CO" w:eastAsia="es-CO"/>
              </w:rPr>
            </w:pPr>
          </w:p>
          <w:p w14:paraId="3C8FF51A" w14:textId="77777777" w:rsidR="000C0C3C" w:rsidRDefault="000C0C3C" w:rsidP="000C0C3C">
            <w:pPr>
              <w:contextualSpacing/>
              <w:jc w:val="both"/>
              <w:rPr>
                <w:rFonts w:ascii="Arial Narrow" w:hAnsi="Arial Narrow" w:cs="Arial"/>
                <w:b/>
                <w:sz w:val="24"/>
                <w:szCs w:val="24"/>
                <w:lang w:val="es-CO" w:eastAsia="es-CO"/>
              </w:rPr>
            </w:pPr>
            <w:r w:rsidRPr="009573E1">
              <w:rPr>
                <w:rFonts w:ascii="Arial Narrow" w:hAnsi="Arial Narrow" w:cs="Arial"/>
                <w:b/>
                <w:sz w:val="24"/>
                <w:szCs w:val="24"/>
                <w:lang w:val="es-CO" w:eastAsia="es-CO"/>
              </w:rPr>
              <w:t xml:space="preserve">Vigencia de la </w:t>
            </w:r>
            <w:r w:rsidRPr="000F7B35">
              <w:rPr>
                <w:rFonts w:ascii="Arial Narrow" w:hAnsi="Arial Narrow" w:cs="Arial"/>
                <w:b/>
                <w:sz w:val="24"/>
                <w:szCs w:val="24"/>
                <w:lang w:val="es-CO" w:eastAsia="es-CO"/>
              </w:rPr>
              <w:t>ley o norma reglamentada o desarrollada</w:t>
            </w:r>
          </w:p>
          <w:p w14:paraId="79BAADD9" w14:textId="77777777" w:rsidR="000C0C3C" w:rsidRPr="000F7B35" w:rsidRDefault="000C0C3C" w:rsidP="000C0C3C">
            <w:pPr>
              <w:jc w:val="both"/>
              <w:rPr>
                <w:rFonts w:ascii="Arial Narrow" w:hAnsi="Arial Narrow" w:cs="Arial"/>
                <w:b/>
                <w:sz w:val="24"/>
                <w:szCs w:val="24"/>
                <w:lang w:val="es-CO" w:eastAsia="es-CO"/>
              </w:rPr>
            </w:pPr>
          </w:p>
          <w:p w14:paraId="09AC6202" w14:textId="77777777" w:rsidR="000C0C3C" w:rsidRDefault="000C0C3C" w:rsidP="000C0C3C">
            <w:pPr>
              <w:jc w:val="both"/>
              <w:rPr>
                <w:rFonts w:ascii="Arial Narrow" w:hAnsi="Arial Narrow" w:cs="Arial"/>
                <w:sz w:val="22"/>
                <w:szCs w:val="22"/>
                <w:lang w:val="es-CO" w:eastAsia="es-CO"/>
              </w:rPr>
            </w:pPr>
            <w:r>
              <w:rPr>
                <w:rFonts w:ascii="Arial Narrow" w:hAnsi="Arial Narrow" w:cs="Arial"/>
                <w:sz w:val="22"/>
                <w:szCs w:val="22"/>
                <w:lang w:val="es-CO" w:eastAsia="es-CO"/>
              </w:rPr>
              <w:t xml:space="preserve">El artículo 79 de la </w:t>
            </w:r>
            <w:r w:rsidRPr="00B16675">
              <w:rPr>
                <w:rFonts w:ascii="Arial Narrow" w:hAnsi="Arial Narrow" w:cs="Arial"/>
                <w:sz w:val="22"/>
                <w:szCs w:val="22"/>
                <w:lang w:val="es-CO" w:eastAsia="es-CO"/>
              </w:rPr>
              <w:t>2294 de 2023 “</w:t>
            </w:r>
            <w:r w:rsidRPr="00DA1FBB">
              <w:rPr>
                <w:rFonts w:ascii="Arial Narrow" w:hAnsi="Arial Narrow" w:cs="Arial"/>
                <w:i/>
                <w:iCs/>
                <w:sz w:val="22"/>
                <w:szCs w:val="22"/>
                <w:lang w:val="es-CO" w:eastAsia="es-CO"/>
              </w:rPr>
              <w:t>por medio de la cual se expide el Plan Nacional de Desarrollo 2022 – 2026 ´Colombia Potencia Mundial de la Vida´”</w:t>
            </w:r>
            <w:r w:rsidRPr="00B16675">
              <w:rPr>
                <w:rFonts w:ascii="Arial Narrow" w:hAnsi="Arial Narrow" w:cs="Arial"/>
                <w:sz w:val="22"/>
                <w:szCs w:val="22"/>
                <w:lang w:val="es-CO" w:eastAsia="es-CO"/>
              </w:rPr>
              <w:t xml:space="preserve">, </w:t>
            </w:r>
            <w:r>
              <w:rPr>
                <w:rFonts w:ascii="Arial Narrow" w:hAnsi="Arial Narrow" w:cs="Arial"/>
                <w:sz w:val="22"/>
                <w:szCs w:val="22"/>
                <w:lang w:val="es-CO" w:eastAsia="es-CO"/>
              </w:rPr>
              <w:t xml:space="preserve">se encuentra vigente. </w:t>
            </w:r>
          </w:p>
          <w:p w14:paraId="3538AA17" w14:textId="77777777" w:rsidR="000C0C3C" w:rsidRDefault="000C0C3C" w:rsidP="000C0C3C">
            <w:pPr>
              <w:jc w:val="both"/>
              <w:rPr>
                <w:rFonts w:ascii="Arial Narrow" w:hAnsi="Arial Narrow" w:cs="Arial"/>
                <w:sz w:val="22"/>
                <w:szCs w:val="22"/>
                <w:lang w:val="es-CO" w:eastAsia="es-CO"/>
              </w:rPr>
            </w:pPr>
          </w:p>
          <w:p w14:paraId="59E1F325" w14:textId="77777777" w:rsidR="000C0C3C" w:rsidRPr="000F7B35" w:rsidRDefault="000C0C3C" w:rsidP="000C0C3C">
            <w:pPr>
              <w:jc w:val="both"/>
              <w:rPr>
                <w:rFonts w:ascii="Arial Narrow" w:hAnsi="Arial Narrow" w:cs="Arial"/>
                <w:sz w:val="22"/>
                <w:szCs w:val="22"/>
                <w:lang w:val="es-CO" w:eastAsia="es-CO"/>
              </w:rPr>
            </w:pPr>
            <w:r>
              <w:rPr>
                <w:rFonts w:ascii="Arial Narrow" w:hAnsi="Arial Narrow" w:cs="Arial"/>
                <w:sz w:val="22"/>
                <w:szCs w:val="22"/>
                <w:lang w:val="es-CO" w:eastAsia="es-CO"/>
              </w:rPr>
              <w:t xml:space="preserve">Así mismo, el artículo 24 de la Ley 2155 de 2021 también se encuentra vigente hasta el mes de agosto de 2023, momento en el cual el Gobierno nacional tiene la facultad de </w:t>
            </w:r>
            <w:r w:rsidRPr="00B16675">
              <w:rPr>
                <w:rFonts w:ascii="Arial Narrow" w:hAnsi="Arial Narrow" w:cs="Arial"/>
                <w:sz w:val="22"/>
                <w:szCs w:val="22"/>
                <w:lang w:val="es-CO" w:eastAsia="es-CO"/>
              </w:rPr>
              <w:t xml:space="preserve">evaluar la pertinencia de su continuidad, de acuerdo con los resultados de los estudios técnicos realizados por las entidades públicas sectoriales, </w:t>
            </w:r>
            <w:r>
              <w:rPr>
                <w:rFonts w:ascii="Arial Narrow" w:hAnsi="Arial Narrow" w:cs="Arial"/>
                <w:sz w:val="22"/>
                <w:szCs w:val="22"/>
                <w:lang w:val="es-CO" w:eastAsia="es-CO"/>
              </w:rPr>
              <w:t>pudiendo</w:t>
            </w:r>
            <w:r w:rsidRPr="00B16675">
              <w:rPr>
                <w:rFonts w:ascii="Arial Narrow" w:hAnsi="Arial Narrow" w:cs="Arial"/>
                <w:sz w:val="22"/>
                <w:szCs w:val="22"/>
                <w:lang w:val="es-CO" w:eastAsia="es-CO"/>
              </w:rPr>
              <w:t xml:space="preserve"> rediseñar los requisitos de acceso y permanencia, las poblaciones beneficiarias, los montos y mecanismos para otorgar el incentivo y los demás aspectos necesarios para su implementación.</w:t>
            </w:r>
          </w:p>
          <w:p w14:paraId="4C39B486" w14:textId="77777777" w:rsidR="000C0C3C" w:rsidRPr="000F7B35" w:rsidRDefault="000C0C3C" w:rsidP="000C0C3C">
            <w:pPr>
              <w:jc w:val="both"/>
              <w:rPr>
                <w:rFonts w:ascii="Arial Narrow" w:hAnsi="Arial Narrow" w:cs="Arial"/>
                <w:sz w:val="22"/>
                <w:szCs w:val="22"/>
                <w:lang w:val="es-CO" w:eastAsia="es-CO"/>
              </w:rPr>
            </w:pPr>
          </w:p>
          <w:p w14:paraId="5CCF499A" w14:textId="77777777" w:rsidR="000C0C3C" w:rsidRPr="000F7B35" w:rsidRDefault="000C0C3C" w:rsidP="000C0C3C">
            <w:pPr>
              <w:jc w:val="both"/>
              <w:rPr>
                <w:rFonts w:ascii="Arial Narrow" w:hAnsi="Arial Narrow" w:cs="Arial"/>
                <w:b/>
                <w:sz w:val="24"/>
                <w:szCs w:val="24"/>
                <w:lang w:val="es-CO" w:eastAsia="es-CO"/>
              </w:rPr>
            </w:pPr>
            <w:r w:rsidRPr="000F7B35">
              <w:rPr>
                <w:rFonts w:ascii="Arial Narrow" w:hAnsi="Arial Narrow" w:cs="Arial"/>
                <w:b/>
                <w:sz w:val="24"/>
                <w:szCs w:val="24"/>
                <w:lang w:val="es-CO" w:eastAsia="es-CO"/>
              </w:rPr>
              <w:t xml:space="preserve">Disposiciones derogadas, subrogadas, modificadas, adicionadas o sustituidas </w:t>
            </w:r>
          </w:p>
          <w:p w14:paraId="17477961" w14:textId="77777777" w:rsidR="000C0C3C" w:rsidRDefault="000C0C3C" w:rsidP="000C0C3C">
            <w:pPr>
              <w:jc w:val="both"/>
              <w:rPr>
                <w:rFonts w:ascii="Arial Narrow" w:hAnsi="Arial Narrow" w:cs="Arial"/>
                <w:sz w:val="22"/>
                <w:szCs w:val="22"/>
                <w:lang w:val="es-CO" w:eastAsia="es-CO"/>
              </w:rPr>
            </w:pPr>
          </w:p>
          <w:p w14:paraId="2C084F50" w14:textId="77777777" w:rsidR="000C0C3C" w:rsidRPr="000F7B35" w:rsidRDefault="000C0C3C" w:rsidP="000C0C3C">
            <w:pPr>
              <w:jc w:val="both"/>
              <w:rPr>
                <w:rFonts w:ascii="Arial Narrow" w:hAnsi="Arial Narrow" w:cs="Arial"/>
                <w:sz w:val="22"/>
                <w:szCs w:val="22"/>
                <w:lang w:val="es-CO" w:eastAsia="es-CO"/>
              </w:rPr>
            </w:pPr>
            <w:r>
              <w:rPr>
                <w:rFonts w:ascii="Arial Narrow" w:hAnsi="Arial Narrow" w:cs="Arial"/>
                <w:sz w:val="22"/>
                <w:szCs w:val="22"/>
                <w:lang w:val="es-CO" w:eastAsia="es-CO"/>
              </w:rPr>
              <w:t xml:space="preserve">Se subroga </w:t>
            </w:r>
            <w:r w:rsidRPr="00B16675">
              <w:rPr>
                <w:rFonts w:ascii="Arial Narrow" w:hAnsi="Arial Narrow" w:cs="Arial"/>
                <w:sz w:val="22"/>
                <w:szCs w:val="22"/>
                <w:lang w:val="es-CO" w:eastAsia="es-CO"/>
              </w:rPr>
              <w:t>la Sección 10 del Capítulo 1 del Título 6 de la Parte 2 del Libro 2 del Decreto 1072 de 2015, Único Reglamentario del Sector Trabajo</w:t>
            </w:r>
            <w:r>
              <w:rPr>
                <w:rFonts w:ascii="Arial Narrow" w:hAnsi="Arial Narrow" w:cs="Arial"/>
                <w:sz w:val="22"/>
                <w:szCs w:val="22"/>
                <w:lang w:val="es-CO" w:eastAsia="es-CO"/>
              </w:rPr>
              <w:t>.</w:t>
            </w:r>
          </w:p>
          <w:p w14:paraId="55D77811" w14:textId="77777777" w:rsidR="000C0C3C" w:rsidRPr="000F7B35" w:rsidRDefault="000C0C3C" w:rsidP="000C0C3C">
            <w:pPr>
              <w:ind w:left="494" w:hanging="283"/>
              <w:jc w:val="both"/>
              <w:rPr>
                <w:rFonts w:ascii="Arial Narrow" w:hAnsi="Arial Narrow" w:cs="Arial"/>
                <w:sz w:val="24"/>
                <w:szCs w:val="24"/>
                <w:lang w:val="es-CO" w:eastAsia="es-CO"/>
              </w:rPr>
            </w:pPr>
          </w:p>
          <w:p w14:paraId="4626135F" w14:textId="77777777" w:rsidR="000C0C3C" w:rsidRDefault="000C0C3C" w:rsidP="000C0C3C">
            <w:pPr>
              <w:jc w:val="both"/>
              <w:rPr>
                <w:rFonts w:ascii="Arial Narrow" w:hAnsi="Arial Narrow" w:cs="Arial"/>
                <w:b/>
                <w:sz w:val="24"/>
                <w:szCs w:val="24"/>
                <w:lang w:val="es-CO" w:eastAsia="es-CO"/>
              </w:rPr>
            </w:pPr>
            <w:r w:rsidRPr="00055623">
              <w:rPr>
                <w:rFonts w:ascii="Arial Narrow" w:hAnsi="Arial Narrow" w:cs="Arial"/>
                <w:b/>
                <w:sz w:val="24"/>
                <w:szCs w:val="24"/>
                <w:lang w:val="es-CO" w:eastAsia="es-CO"/>
              </w:rPr>
              <w:t>Revisión y análisis de la jurisprudencia que tenga impacto o sea relevante para la expedición del proyecto normativo (órganos de cierre de cada jurisdicción).</w:t>
            </w:r>
          </w:p>
          <w:p w14:paraId="3DC1EC44" w14:textId="77777777" w:rsidR="000C0C3C" w:rsidRPr="00055623" w:rsidRDefault="000C0C3C" w:rsidP="000C0C3C">
            <w:pPr>
              <w:jc w:val="both"/>
              <w:rPr>
                <w:rFonts w:ascii="Arial Narrow" w:hAnsi="Arial Narrow" w:cs="Arial"/>
                <w:b/>
                <w:sz w:val="24"/>
                <w:szCs w:val="24"/>
                <w:lang w:val="es-CO" w:eastAsia="es-CO"/>
              </w:rPr>
            </w:pPr>
          </w:p>
          <w:p w14:paraId="5391D4DA" w14:textId="77777777" w:rsidR="000C0C3C" w:rsidRPr="00055623" w:rsidRDefault="000C0C3C" w:rsidP="000C0C3C">
            <w:pPr>
              <w:jc w:val="both"/>
              <w:rPr>
                <w:rFonts w:ascii="Arial Narrow" w:hAnsi="Arial Narrow" w:cs="Arial"/>
                <w:sz w:val="24"/>
                <w:szCs w:val="24"/>
                <w:lang w:val="es-CO" w:eastAsia="es-CO"/>
              </w:rPr>
            </w:pPr>
            <w:r w:rsidRPr="00055623">
              <w:rPr>
                <w:rFonts w:ascii="Arial Narrow" w:hAnsi="Arial Narrow" w:cs="Arial"/>
                <w:sz w:val="24"/>
                <w:szCs w:val="24"/>
                <w:lang w:val="es-CO" w:eastAsia="es-CO"/>
              </w:rPr>
              <w:t>N/A</w:t>
            </w:r>
          </w:p>
          <w:p w14:paraId="1C9F9B78" w14:textId="77777777" w:rsidR="000C0C3C" w:rsidRPr="00055623" w:rsidRDefault="000C0C3C" w:rsidP="000C0C3C">
            <w:pPr>
              <w:ind w:left="494" w:hanging="283"/>
              <w:jc w:val="both"/>
              <w:rPr>
                <w:rFonts w:ascii="Arial Narrow" w:hAnsi="Arial Narrow" w:cs="Arial"/>
                <w:sz w:val="24"/>
                <w:szCs w:val="24"/>
                <w:lang w:val="es-CO" w:eastAsia="es-CO"/>
              </w:rPr>
            </w:pPr>
          </w:p>
          <w:p w14:paraId="321C1021" w14:textId="77777777" w:rsidR="000C0C3C" w:rsidRDefault="000C0C3C" w:rsidP="000C0C3C">
            <w:pPr>
              <w:jc w:val="both"/>
              <w:rPr>
                <w:rFonts w:ascii="Arial Narrow" w:hAnsi="Arial Narrow" w:cs="Arial"/>
                <w:b/>
                <w:sz w:val="24"/>
                <w:szCs w:val="24"/>
                <w:lang w:val="es-CO" w:eastAsia="es-CO"/>
              </w:rPr>
            </w:pPr>
          </w:p>
          <w:p w14:paraId="79A38B0A" w14:textId="77777777" w:rsidR="000C0C3C" w:rsidRDefault="000C0C3C" w:rsidP="000C0C3C">
            <w:pPr>
              <w:jc w:val="both"/>
              <w:rPr>
                <w:rFonts w:ascii="Arial Narrow" w:hAnsi="Arial Narrow" w:cs="Arial"/>
                <w:b/>
                <w:sz w:val="24"/>
                <w:szCs w:val="24"/>
                <w:lang w:val="es-CO" w:eastAsia="es-CO"/>
              </w:rPr>
            </w:pPr>
            <w:r w:rsidRPr="00055623">
              <w:rPr>
                <w:rFonts w:ascii="Arial Narrow" w:hAnsi="Arial Narrow" w:cs="Arial"/>
                <w:b/>
                <w:sz w:val="24"/>
                <w:szCs w:val="24"/>
                <w:lang w:val="es-CO" w:eastAsia="es-CO"/>
              </w:rPr>
              <w:t>Circunstancias jurídicas adicionales</w:t>
            </w:r>
          </w:p>
          <w:p w14:paraId="121A02A9" w14:textId="77777777" w:rsidR="000C0C3C" w:rsidRPr="00055623" w:rsidRDefault="000C0C3C" w:rsidP="000C0C3C">
            <w:pPr>
              <w:jc w:val="both"/>
              <w:rPr>
                <w:rFonts w:ascii="Arial Narrow" w:hAnsi="Arial Narrow" w:cs="Arial"/>
                <w:b/>
                <w:sz w:val="24"/>
                <w:szCs w:val="24"/>
                <w:lang w:val="es-CO" w:eastAsia="es-CO"/>
              </w:rPr>
            </w:pPr>
          </w:p>
          <w:p w14:paraId="0AE4C2F9" w14:textId="77777777" w:rsidR="000C0C3C" w:rsidRDefault="000C0C3C" w:rsidP="000C0C3C">
            <w:pPr>
              <w:jc w:val="both"/>
              <w:rPr>
                <w:rFonts w:ascii="Arial Narrow" w:hAnsi="Arial Narrow" w:cs="Arial"/>
                <w:sz w:val="24"/>
                <w:szCs w:val="24"/>
                <w:lang w:val="es-CO" w:eastAsia="es-CO"/>
              </w:rPr>
            </w:pPr>
            <w:r w:rsidRPr="00055623">
              <w:rPr>
                <w:rFonts w:ascii="Arial Narrow" w:hAnsi="Arial Narrow" w:cs="Arial"/>
                <w:sz w:val="24"/>
                <w:szCs w:val="24"/>
                <w:lang w:val="es-CO" w:eastAsia="es-CO"/>
              </w:rPr>
              <w:t>No se configuran circunstancias jurídicas adicionales.</w:t>
            </w:r>
          </w:p>
          <w:p w14:paraId="41959B76" w14:textId="77777777" w:rsidR="000C0C3C" w:rsidRPr="009F7CED" w:rsidRDefault="000C0C3C" w:rsidP="000C0C3C">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4A7938" w:rsidRPr="009F7CED"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D361E" w14:textId="77777777" w:rsidR="004A7938" w:rsidRPr="000F7B35" w:rsidRDefault="004A7938" w:rsidP="004A7938">
            <w:pPr>
              <w:numPr>
                <w:ilvl w:val="0"/>
                <w:numId w:val="45"/>
              </w:numPr>
              <w:rPr>
                <w:rFonts w:ascii="Arial Narrow" w:hAnsi="Arial Narrow" w:cs="Arial"/>
                <w:b/>
                <w:sz w:val="24"/>
                <w:szCs w:val="24"/>
              </w:rPr>
            </w:pPr>
            <w:r w:rsidRPr="000F7B35">
              <w:rPr>
                <w:rFonts w:ascii="Arial Narrow" w:hAnsi="Arial Narrow" w:cs="Arial"/>
                <w:b/>
                <w:sz w:val="24"/>
                <w:szCs w:val="24"/>
              </w:rPr>
              <w:lastRenderedPageBreak/>
              <w:t xml:space="preserve">IMPACTO ECONÓMICO </w:t>
            </w:r>
            <w:r w:rsidRPr="000F7B35">
              <w:rPr>
                <w:rFonts w:ascii="Arial Narrow" w:hAnsi="Arial Narrow" w:cs="Arial"/>
                <w:sz w:val="24"/>
                <w:szCs w:val="24"/>
              </w:rPr>
              <w:t>(Si se requiere)</w:t>
            </w:r>
          </w:p>
          <w:p w14:paraId="7271F8C2" w14:textId="77777777" w:rsidR="004A7938" w:rsidRDefault="004A7938" w:rsidP="004A7938">
            <w:pPr>
              <w:jc w:val="both"/>
              <w:rPr>
                <w:rFonts w:ascii="Arial Narrow" w:hAnsi="Arial Narrow" w:cs="Arial"/>
                <w:sz w:val="24"/>
                <w:szCs w:val="24"/>
              </w:rPr>
            </w:pPr>
          </w:p>
          <w:p w14:paraId="41A16CD4" w14:textId="19611ED8" w:rsidR="004A7938" w:rsidRPr="00795C6B" w:rsidRDefault="004A7938" w:rsidP="004A7938">
            <w:pPr>
              <w:jc w:val="both"/>
              <w:rPr>
                <w:rFonts w:cs="Arial"/>
                <w:sz w:val="22"/>
                <w:szCs w:val="22"/>
                <w:lang w:val="es-CO"/>
              </w:rPr>
            </w:pPr>
            <w:r>
              <w:rPr>
                <w:rFonts w:ascii="Arial Narrow" w:hAnsi="Arial Narrow" w:cs="Arial"/>
                <w:sz w:val="24"/>
                <w:szCs w:val="24"/>
                <w:highlight w:val="yellow"/>
              </w:rPr>
              <w:t xml:space="preserve">El presente acto administrativo tiene impacto fiscal para las vigencias 2024, 2025 y 2026, lo cual se encuentra pendiente de definición </w:t>
            </w:r>
            <w:r w:rsidRPr="00B16675">
              <w:rPr>
                <w:rFonts w:ascii="Arial Narrow" w:hAnsi="Arial Narrow" w:cs="Arial"/>
                <w:sz w:val="24"/>
                <w:szCs w:val="24"/>
                <w:highlight w:val="yellow"/>
              </w:rPr>
              <w:t>con el Ministerio de Hacienda y Crédito Público</w:t>
            </w:r>
            <w:r>
              <w:rPr>
                <w:rFonts w:ascii="Arial Narrow" w:hAnsi="Arial Narrow" w:cs="Arial"/>
                <w:sz w:val="24"/>
                <w:szCs w:val="24"/>
              </w:rPr>
              <w:t>.</w:t>
            </w:r>
          </w:p>
        </w:tc>
      </w:tr>
      <w:tr w:rsidR="004A7938" w:rsidRPr="009F7CED"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8FB64" w14:textId="77777777" w:rsidR="004A7938" w:rsidRPr="000F7B35" w:rsidRDefault="004A7938" w:rsidP="004A7938">
            <w:pPr>
              <w:numPr>
                <w:ilvl w:val="0"/>
                <w:numId w:val="45"/>
              </w:numPr>
              <w:rPr>
                <w:rFonts w:ascii="Arial Narrow" w:hAnsi="Arial Narrow" w:cs="Arial"/>
                <w:b/>
                <w:sz w:val="24"/>
                <w:szCs w:val="24"/>
              </w:rPr>
            </w:pPr>
            <w:r w:rsidRPr="000F7B35">
              <w:rPr>
                <w:rFonts w:ascii="Arial Narrow" w:hAnsi="Arial Narrow" w:cs="Arial"/>
                <w:b/>
                <w:sz w:val="24"/>
                <w:szCs w:val="24"/>
              </w:rPr>
              <w:t xml:space="preserve">VIABILIDAD O DISPONIBILIDAD PRESUPUESTAL </w:t>
            </w:r>
            <w:r w:rsidRPr="000F7B35">
              <w:rPr>
                <w:rFonts w:ascii="Arial Narrow" w:hAnsi="Arial Narrow" w:cs="Arial"/>
                <w:sz w:val="24"/>
                <w:szCs w:val="24"/>
              </w:rPr>
              <w:t>(Si se requiere)</w:t>
            </w:r>
          </w:p>
          <w:p w14:paraId="2E010AA3" w14:textId="77777777" w:rsidR="004A7938" w:rsidRDefault="004A7938" w:rsidP="004A7938">
            <w:pPr>
              <w:spacing w:after="200" w:line="276" w:lineRule="auto"/>
              <w:contextualSpacing/>
              <w:jc w:val="both"/>
              <w:rPr>
                <w:rFonts w:ascii="Arial Narrow" w:hAnsi="Arial Narrow" w:cs="Arial"/>
                <w:sz w:val="24"/>
                <w:szCs w:val="24"/>
                <w:lang w:val="es-CO" w:eastAsia="es-CO"/>
              </w:rPr>
            </w:pPr>
          </w:p>
          <w:p w14:paraId="69601C72" w14:textId="7901EAD9" w:rsidR="004A7938" w:rsidRPr="009F7CED" w:rsidRDefault="004A7938" w:rsidP="004A7938">
            <w:pPr>
              <w:jc w:val="both"/>
              <w:rPr>
                <w:sz w:val="22"/>
                <w:szCs w:val="22"/>
                <w:lang w:eastAsia="es-CO"/>
              </w:rPr>
            </w:pPr>
            <w:r w:rsidRPr="00907C47">
              <w:rPr>
                <w:rFonts w:ascii="Arial Narrow" w:hAnsi="Arial Narrow" w:cs="Arial"/>
                <w:sz w:val="24"/>
                <w:szCs w:val="24"/>
                <w:highlight w:val="yellow"/>
                <w:lang w:val="es-CO" w:eastAsia="es-CO"/>
              </w:rPr>
              <w:lastRenderedPageBreak/>
              <w:t>Pendiente de definir con el Ministerio de Hacienda y Crédito Público.</w:t>
            </w:r>
          </w:p>
        </w:tc>
      </w:tr>
      <w:tr w:rsidR="004A7938" w:rsidRPr="009F7CED"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599B8CA7" w14:textId="77777777" w:rsidR="004A7938" w:rsidRPr="000F7B35" w:rsidRDefault="004A7938" w:rsidP="004A7938">
            <w:pPr>
              <w:numPr>
                <w:ilvl w:val="0"/>
                <w:numId w:val="45"/>
              </w:numPr>
              <w:jc w:val="both"/>
              <w:rPr>
                <w:rFonts w:ascii="Arial Narrow" w:hAnsi="Arial Narrow" w:cs="Arial"/>
                <w:b/>
                <w:sz w:val="24"/>
                <w:szCs w:val="24"/>
              </w:rPr>
            </w:pPr>
            <w:r w:rsidRPr="000F7B35">
              <w:rPr>
                <w:rFonts w:ascii="Arial Narrow" w:hAnsi="Arial Narrow" w:cs="Arial"/>
                <w:b/>
                <w:sz w:val="24"/>
                <w:szCs w:val="24"/>
              </w:rPr>
              <w:lastRenderedPageBreak/>
              <w:t xml:space="preserve"> IMPACTO MEDIOAMBIENTAL O SOBRE EL PATRIMONIO CULTURAL DE LA NACIÓN </w:t>
            </w:r>
            <w:r w:rsidRPr="000F7B35">
              <w:rPr>
                <w:rFonts w:ascii="Arial Narrow" w:hAnsi="Arial Narrow" w:cs="Arial"/>
                <w:sz w:val="24"/>
                <w:szCs w:val="24"/>
              </w:rPr>
              <w:t>(Si se requiere)</w:t>
            </w:r>
          </w:p>
          <w:p w14:paraId="3F6FCC64" w14:textId="77777777" w:rsidR="004A7938" w:rsidRDefault="004A7938" w:rsidP="004A7938">
            <w:pPr>
              <w:jc w:val="both"/>
              <w:rPr>
                <w:rFonts w:ascii="Arial Narrow" w:hAnsi="Arial Narrow" w:cs="Arial"/>
                <w:sz w:val="24"/>
                <w:szCs w:val="24"/>
              </w:rPr>
            </w:pPr>
          </w:p>
          <w:p w14:paraId="6EE16FA6" w14:textId="3F00FD7B" w:rsidR="004A7938" w:rsidRPr="009F7CED" w:rsidRDefault="004A7938" w:rsidP="004A7938">
            <w:pPr>
              <w:jc w:val="both"/>
              <w:rPr>
                <w:rFonts w:cs="Arial"/>
                <w:b/>
                <w:color w:val="000000"/>
                <w:sz w:val="22"/>
                <w:szCs w:val="22"/>
              </w:rPr>
            </w:pPr>
            <w:r w:rsidRPr="0008620D">
              <w:rPr>
                <w:rFonts w:ascii="Arial Narrow" w:hAnsi="Arial Narrow" w:cs="Arial"/>
                <w:sz w:val="24"/>
                <w:szCs w:val="24"/>
                <w:lang w:val="es-CO" w:eastAsia="es-CO"/>
              </w:rPr>
              <w:t>N/A</w:t>
            </w:r>
          </w:p>
        </w:tc>
      </w:tr>
      <w:tr w:rsidR="004A7938" w:rsidRPr="009F7CED"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10F9E521" w14:textId="77777777" w:rsidR="004A7938" w:rsidRPr="000F7B35" w:rsidRDefault="004A7938" w:rsidP="004A7938">
            <w:pPr>
              <w:numPr>
                <w:ilvl w:val="0"/>
                <w:numId w:val="45"/>
              </w:numPr>
              <w:rPr>
                <w:rFonts w:ascii="Arial Narrow" w:hAnsi="Arial Narrow" w:cs="Arial"/>
                <w:b/>
                <w:sz w:val="24"/>
                <w:szCs w:val="24"/>
              </w:rPr>
            </w:pPr>
            <w:r w:rsidRPr="000F7B35">
              <w:rPr>
                <w:rFonts w:ascii="Arial Narrow" w:hAnsi="Arial Narrow" w:cs="Arial"/>
                <w:b/>
                <w:sz w:val="24"/>
                <w:szCs w:val="24"/>
              </w:rPr>
              <w:t xml:space="preserve">IMPACTO ECONÓMICO </w:t>
            </w:r>
            <w:r w:rsidRPr="000F7B35">
              <w:rPr>
                <w:rFonts w:ascii="Arial Narrow" w:hAnsi="Arial Narrow" w:cs="Arial"/>
                <w:sz w:val="24"/>
                <w:szCs w:val="24"/>
              </w:rPr>
              <w:t>(Si se requiere)</w:t>
            </w:r>
          </w:p>
          <w:p w14:paraId="5DD7DD0E" w14:textId="77777777" w:rsidR="004A7938" w:rsidRDefault="004A7938" w:rsidP="004A7938">
            <w:pPr>
              <w:jc w:val="both"/>
              <w:rPr>
                <w:rFonts w:ascii="Arial Narrow" w:hAnsi="Arial Narrow" w:cs="Arial"/>
                <w:sz w:val="24"/>
                <w:szCs w:val="24"/>
              </w:rPr>
            </w:pPr>
          </w:p>
          <w:p w14:paraId="2DF7E622" w14:textId="77777777" w:rsidR="004A7938" w:rsidRDefault="004A7938" w:rsidP="004A7938">
            <w:pPr>
              <w:jc w:val="both"/>
              <w:rPr>
                <w:rFonts w:ascii="Arial Narrow" w:hAnsi="Arial Narrow" w:cs="Arial"/>
                <w:sz w:val="24"/>
                <w:szCs w:val="24"/>
                <w:lang w:val="es-CO" w:eastAsia="es-CO"/>
              </w:rPr>
            </w:pPr>
            <w:r w:rsidRPr="0008620D">
              <w:rPr>
                <w:rFonts w:ascii="Arial Narrow" w:hAnsi="Arial Narrow" w:cs="Arial"/>
                <w:sz w:val="24"/>
                <w:szCs w:val="24"/>
                <w:lang w:val="es-CO" w:eastAsia="es-CO"/>
              </w:rPr>
              <w:t>Estudio elaborado por el Departamento Nacional de Planeación -DNP, sobre los resultados de implementación del Incentivo a la creación de nuevos empleos contemplado en el artículo 24 de la Ley 2155 de 2021.</w:t>
            </w:r>
          </w:p>
          <w:p w14:paraId="1A4477BA" w14:textId="77777777" w:rsidR="004A7938" w:rsidRDefault="004A7938" w:rsidP="004A7938">
            <w:pPr>
              <w:jc w:val="both"/>
              <w:rPr>
                <w:rFonts w:ascii="Arial Narrow" w:hAnsi="Arial Narrow" w:cs="Arial"/>
                <w:sz w:val="24"/>
                <w:szCs w:val="24"/>
                <w:lang w:val="es-CO" w:eastAsia="es-CO"/>
              </w:rPr>
            </w:pPr>
          </w:p>
          <w:p w14:paraId="4FB1D816" w14:textId="77777777" w:rsidR="004A7938" w:rsidRPr="0008620D" w:rsidRDefault="004A7938" w:rsidP="004A7938">
            <w:pPr>
              <w:jc w:val="both"/>
              <w:rPr>
                <w:rFonts w:ascii="Arial Narrow" w:hAnsi="Arial Narrow" w:cs="Arial"/>
                <w:sz w:val="24"/>
                <w:szCs w:val="24"/>
                <w:lang w:val="es-CO" w:eastAsia="es-CO"/>
              </w:rPr>
            </w:pPr>
            <w:r>
              <w:rPr>
                <w:rFonts w:ascii="Arial Narrow" w:hAnsi="Arial Narrow" w:cs="Arial"/>
                <w:sz w:val="24"/>
                <w:szCs w:val="24"/>
                <w:lang w:val="es-CO" w:eastAsia="es-CO"/>
              </w:rPr>
              <w:t xml:space="preserve">Boletín del mes de </w:t>
            </w:r>
            <w:proofErr w:type="gramStart"/>
            <w:r>
              <w:rPr>
                <w:rFonts w:ascii="Arial Narrow" w:hAnsi="Arial Narrow" w:cs="Arial"/>
                <w:sz w:val="24"/>
                <w:szCs w:val="24"/>
                <w:lang w:val="es-CO" w:eastAsia="es-CO"/>
              </w:rPr>
              <w:t>Junio</w:t>
            </w:r>
            <w:proofErr w:type="gramEnd"/>
            <w:r>
              <w:rPr>
                <w:rFonts w:ascii="Arial Narrow" w:hAnsi="Arial Narrow" w:cs="Arial"/>
                <w:sz w:val="24"/>
                <w:szCs w:val="24"/>
                <w:lang w:val="es-CO" w:eastAsia="es-CO"/>
              </w:rPr>
              <w:t xml:space="preserve"> de 2023 sobre demanda laboral, elaborado por la Unidad Administrativa Especial del Servicio Público de Empleo -UAESPE.</w:t>
            </w:r>
          </w:p>
          <w:p w14:paraId="616729FA" w14:textId="15C65FB8" w:rsidR="004A7938" w:rsidRPr="004A7938" w:rsidRDefault="004A7938" w:rsidP="004A7938">
            <w:pPr>
              <w:ind w:left="720"/>
              <w:jc w:val="both"/>
              <w:rPr>
                <w:rFonts w:cs="Arial"/>
                <w:sz w:val="22"/>
                <w:szCs w:val="22"/>
                <w:lang w:val="es-CO"/>
              </w:rPr>
            </w:pPr>
          </w:p>
        </w:tc>
      </w:tr>
      <w:tr w:rsidR="000C0C3C" w:rsidRPr="009F7CED" w14:paraId="419DCBB0"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536C7DA" w14:textId="77777777" w:rsidR="000C0C3C" w:rsidRPr="009F7CED" w:rsidRDefault="000C0C3C" w:rsidP="000C0C3C">
            <w:pPr>
              <w:jc w:val="center"/>
              <w:rPr>
                <w:rFonts w:cs="Arial"/>
                <w:sz w:val="22"/>
                <w:szCs w:val="22"/>
              </w:rPr>
            </w:pPr>
          </w:p>
        </w:tc>
      </w:tr>
      <w:tr w:rsidR="000C0C3C" w:rsidRPr="009F7CED" w14:paraId="45168B4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D9C0271" w14:textId="77777777" w:rsidR="000C0C3C" w:rsidRPr="009F7CED" w:rsidRDefault="000C0C3C" w:rsidP="000C0C3C">
            <w:pPr>
              <w:jc w:val="center"/>
              <w:rPr>
                <w:rFonts w:cs="Arial"/>
                <w:sz w:val="22"/>
                <w:szCs w:val="22"/>
                <w:u w:val="single"/>
              </w:rPr>
            </w:pPr>
          </w:p>
        </w:tc>
      </w:tr>
      <w:tr w:rsidR="000C0C3C" w:rsidRPr="00D965B1" w14:paraId="0E0DF9A6" w14:textId="77777777" w:rsidTr="00EE2F54">
        <w:trPr>
          <w:trHeight w:val="416"/>
        </w:trPr>
        <w:tc>
          <w:tcPr>
            <w:tcW w:w="10774" w:type="dxa"/>
            <w:gridSpan w:val="3"/>
            <w:tcBorders>
              <w:top w:val="single" w:sz="4" w:space="0" w:color="auto"/>
              <w:bottom w:val="single" w:sz="4" w:space="0" w:color="auto"/>
            </w:tcBorders>
            <w:shd w:val="clear" w:color="auto" w:fill="993300"/>
            <w:vAlign w:val="center"/>
          </w:tcPr>
          <w:p w14:paraId="0CEA2805" w14:textId="77777777" w:rsidR="000C0C3C" w:rsidRPr="00D965B1" w:rsidRDefault="000C0C3C" w:rsidP="000C0C3C">
            <w:pPr>
              <w:jc w:val="center"/>
              <w:rPr>
                <w:rFonts w:cs="Arial"/>
                <w:color w:val="FFFFFF"/>
                <w:sz w:val="22"/>
                <w:szCs w:val="22"/>
              </w:rPr>
            </w:pPr>
            <w:r w:rsidRPr="00D965B1">
              <w:rPr>
                <w:rFonts w:cs="Arial"/>
                <w:b/>
                <w:color w:val="FFFFFF"/>
                <w:sz w:val="22"/>
                <w:szCs w:val="22"/>
              </w:rPr>
              <w:t>ANEXOS:</w:t>
            </w:r>
            <w:r w:rsidRPr="00D965B1">
              <w:rPr>
                <w:rFonts w:cs="Arial"/>
                <w:color w:val="FFFFFF"/>
                <w:sz w:val="22"/>
                <w:szCs w:val="22"/>
              </w:rPr>
              <w:t xml:space="preserve"> </w:t>
            </w:r>
          </w:p>
        </w:tc>
      </w:tr>
      <w:tr w:rsidR="004A7938" w:rsidRPr="009F7CED"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92F00C3" w14:textId="77777777" w:rsidR="004A7938" w:rsidRDefault="004A7938" w:rsidP="004A7938">
            <w:pPr>
              <w:jc w:val="both"/>
              <w:rPr>
                <w:rFonts w:cs="Arial"/>
                <w:sz w:val="22"/>
                <w:szCs w:val="22"/>
              </w:rPr>
            </w:pPr>
            <w:r>
              <w:rPr>
                <w:rFonts w:cs="Arial"/>
                <w:sz w:val="22"/>
                <w:szCs w:val="22"/>
              </w:rPr>
              <w:t xml:space="preserve">Certificación de cumplimiento de requisitos de consulta, publicidad y de incorporación en la agenda regulatoria </w:t>
            </w:r>
          </w:p>
          <w:p w14:paraId="2B3D202B" w14:textId="77777777" w:rsidR="004A7938" w:rsidRPr="00084B49" w:rsidRDefault="004A7938" w:rsidP="004A7938">
            <w:pPr>
              <w:jc w:val="both"/>
              <w:rPr>
                <w:rFonts w:cs="Arial"/>
                <w:i/>
                <w:color w:val="808080"/>
                <w:sz w:val="22"/>
                <w:szCs w:val="22"/>
              </w:rPr>
            </w:pPr>
            <w:r w:rsidRPr="00084B49">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3DE060DE" w:rsidR="004A7938" w:rsidRPr="00084B49" w:rsidRDefault="004A7938" w:rsidP="004A7938">
            <w:pPr>
              <w:jc w:val="both"/>
              <w:rPr>
                <w:rFonts w:cs="Arial"/>
                <w:i/>
                <w:color w:val="808080"/>
                <w:sz w:val="22"/>
                <w:szCs w:val="22"/>
              </w:rPr>
            </w:pPr>
            <w:r>
              <w:rPr>
                <w:rFonts w:cs="Arial"/>
                <w:i/>
                <w:color w:val="808080"/>
                <w:sz w:val="22"/>
                <w:szCs w:val="22"/>
              </w:rPr>
              <w:t>X</w:t>
            </w:r>
          </w:p>
        </w:tc>
      </w:tr>
      <w:tr w:rsidR="004A7938" w:rsidRPr="009F7CED"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4A7938" w:rsidRDefault="004A7938" w:rsidP="004A7938">
            <w:pPr>
              <w:jc w:val="both"/>
              <w:rPr>
                <w:rFonts w:cs="Arial"/>
                <w:sz w:val="22"/>
                <w:szCs w:val="22"/>
              </w:rPr>
            </w:pPr>
            <w:r>
              <w:rPr>
                <w:rFonts w:cs="Arial"/>
                <w:sz w:val="22"/>
                <w:szCs w:val="22"/>
              </w:rPr>
              <w:t>Concepto(s) de Ministerio de Comercio, Industria y Turismo</w:t>
            </w:r>
          </w:p>
          <w:p w14:paraId="258BFF2C" w14:textId="77777777" w:rsidR="004A7938" w:rsidRPr="00084B49" w:rsidRDefault="004A7938" w:rsidP="004A7938">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316AFB8C" w:rsidR="004A7938" w:rsidRDefault="004A7938" w:rsidP="004A7938">
            <w:pPr>
              <w:jc w:val="both"/>
              <w:rPr>
                <w:rFonts w:cs="Arial"/>
                <w:sz w:val="22"/>
                <w:szCs w:val="22"/>
              </w:rPr>
            </w:pPr>
            <w:r>
              <w:rPr>
                <w:rFonts w:cs="Arial"/>
                <w:i/>
                <w:color w:val="808080"/>
                <w:sz w:val="22"/>
                <w:szCs w:val="22"/>
              </w:rPr>
              <w:t>N/A</w:t>
            </w:r>
          </w:p>
        </w:tc>
      </w:tr>
      <w:tr w:rsidR="004A7938" w:rsidRPr="009F7CED"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4A7938" w:rsidRDefault="004A7938" w:rsidP="004A7938">
            <w:pPr>
              <w:jc w:val="both"/>
              <w:rPr>
                <w:rFonts w:cs="Arial"/>
                <w:sz w:val="22"/>
                <w:szCs w:val="22"/>
              </w:rPr>
            </w:pPr>
            <w:r>
              <w:rPr>
                <w:rFonts w:cs="Arial"/>
                <w:sz w:val="22"/>
                <w:szCs w:val="22"/>
              </w:rPr>
              <w:t xml:space="preserve">Informe de observaciones y respuestas </w:t>
            </w:r>
          </w:p>
          <w:p w14:paraId="5905E776" w14:textId="77777777" w:rsidR="004A7938" w:rsidRPr="00084B49" w:rsidRDefault="004A7938" w:rsidP="004A7938">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28D8936" w14:textId="05FBE0F3" w:rsidR="004A7938" w:rsidRDefault="004A7938" w:rsidP="004A7938">
            <w:pPr>
              <w:jc w:val="both"/>
              <w:rPr>
                <w:rFonts w:cs="Arial"/>
                <w:sz w:val="22"/>
                <w:szCs w:val="22"/>
              </w:rPr>
            </w:pPr>
            <w:r>
              <w:rPr>
                <w:rFonts w:cs="Arial"/>
                <w:i/>
                <w:color w:val="808080"/>
                <w:sz w:val="22"/>
                <w:szCs w:val="22"/>
              </w:rPr>
              <w:t>X</w:t>
            </w:r>
          </w:p>
        </w:tc>
      </w:tr>
      <w:tr w:rsidR="004A7938" w:rsidRPr="009F7CED"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4A7938" w:rsidRDefault="004A7938" w:rsidP="004A7938">
            <w:pPr>
              <w:jc w:val="both"/>
              <w:rPr>
                <w:rFonts w:cs="Arial"/>
                <w:sz w:val="22"/>
                <w:szCs w:val="22"/>
              </w:rPr>
            </w:pPr>
            <w:r>
              <w:rPr>
                <w:rFonts w:cs="Arial"/>
                <w:sz w:val="22"/>
                <w:szCs w:val="22"/>
              </w:rPr>
              <w:t>Concepto de Abogacía de la Competencia de la Superintendencia de Industria y Comercio</w:t>
            </w:r>
          </w:p>
          <w:p w14:paraId="0212D055" w14:textId="77777777" w:rsidR="004A7938" w:rsidRPr="00084B49" w:rsidRDefault="004A7938" w:rsidP="004A7938">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0D0AAB72" w:rsidR="004A7938" w:rsidRDefault="004A7938" w:rsidP="004A7938">
            <w:pPr>
              <w:jc w:val="both"/>
              <w:rPr>
                <w:rFonts w:cs="Arial"/>
                <w:sz w:val="22"/>
                <w:szCs w:val="22"/>
              </w:rPr>
            </w:pPr>
            <w:r>
              <w:rPr>
                <w:rFonts w:cs="Arial"/>
                <w:i/>
                <w:color w:val="808080"/>
                <w:sz w:val="22"/>
                <w:szCs w:val="22"/>
              </w:rPr>
              <w:t>N/A</w:t>
            </w:r>
          </w:p>
        </w:tc>
      </w:tr>
      <w:tr w:rsidR="004A7938" w:rsidRPr="009F7CED"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F2E840" w14:textId="77777777" w:rsidR="004A7938" w:rsidRDefault="004A7938" w:rsidP="004A7938">
            <w:pPr>
              <w:jc w:val="both"/>
              <w:rPr>
                <w:rFonts w:cs="Arial"/>
                <w:sz w:val="22"/>
                <w:szCs w:val="22"/>
              </w:rPr>
            </w:pPr>
            <w:r>
              <w:rPr>
                <w:rFonts w:cs="Arial"/>
                <w:sz w:val="22"/>
                <w:szCs w:val="22"/>
              </w:rPr>
              <w:t>Concepto de aprobación nuevos trámites del Departamento Administrativo de la Función Pública</w:t>
            </w:r>
          </w:p>
          <w:p w14:paraId="47C4DB8E" w14:textId="77777777" w:rsidR="004A7938" w:rsidRDefault="004A7938" w:rsidP="004A7938">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6627BD9C" w14:textId="127B3113" w:rsidR="004A7938" w:rsidRDefault="004A7938" w:rsidP="004A7938">
            <w:pPr>
              <w:jc w:val="both"/>
              <w:rPr>
                <w:rFonts w:cs="Arial"/>
                <w:sz w:val="22"/>
                <w:szCs w:val="22"/>
              </w:rPr>
            </w:pPr>
            <w:r>
              <w:rPr>
                <w:rFonts w:cs="Arial"/>
                <w:i/>
                <w:color w:val="808080"/>
                <w:sz w:val="22"/>
                <w:szCs w:val="22"/>
              </w:rPr>
              <w:t>N/A</w:t>
            </w:r>
          </w:p>
        </w:tc>
      </w:tr>
      <w:tr w:rsidR="004A7938" w:rsidRPr="009F7CED"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4A7938" w:rsidRDefault="004A7938" w:rsidP="004A7938">
            <w:pPr>
              <w:jc w:val="both"/>
              <w:rPr>
                <w:rFonts w:cs="Arial"/>
                <w:sz w:val="22"/>
                <w:szCs w:val="22"/>
              </w:rPr>
            </w:pPr>
            <w:r>
              <w:rPr>
                <w:rFonts w:cs="Arial"/>
                <w:sz w:val="22"/>
                <w:szCs w:val="22"/>
              </w:rPr>
              <w:t xml:space="preserve">Otro </w:t>
            </w:r>
          </w:p>
          <w:p w14:paraId="2116F96B" w14:textId="77777777" w:rsidR="004A7938" w:rsidRDefault="004A7938" w:rsidP="004A7938">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4313B40C" w:rsidR="004A7938" w:rsidRDefault="004A7938" w:rsidP="004A7938">
            <w:pPr>
              <w:jc w:val="both"/>
              <w:rPr>
                <w:rFonts w:cs="Arial"/>
                <w:sz w:val="22"/>
                <w:szCs w:val="22"/>
              </w:rPr>
            </w:pPr>
            <w:r>
              <w:rPr>
                <w:rFonts w:cs="Arial"/>
                <w:i/>
                <w:color w:val="808080"/>
                <w:sz w:val="22"/>
                <w:szCs w:val="22"/>
              </w:rPr>
              <w:t>N/A</w:t>
            </w:r>
          </w:p>
        </w:tc>
      </w:tr>
    </w:tbl>
    <w:p w14:paraId="07F0EE14" w14:textId="77777777" w:rsidR="00301DC2" w:rsidRPr="009F7CED" w:rsidRDefault="00301DC2" w:rsidP="00587695">
      <w:pPr>
        <w:ind w:right="-377"/>
        <w:jc w:val="both"/>
        <w:rPr>
          <w:rFonts w:cs="Arial"/>
          <w:sz w:val="22"/>
          <w:szCs w:val="22"/>
        </w:rPr>
      </w:pPr>
    </w:p>
    <w:p w14:paraId="40EA2BE3"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61122F76" w14:textId="77777777" w:rsidR="007E4CE3" w:rsidRPr="009F7CED" w:rsidRDefault="007E4CE3" w:rsidP="00086B16">
      <w:pPr>
        <w:ind w:left="-1276" w:right="-377"/>
        <w:jc w:val="both"/>
        <w:rPr>
          <w:rFonts w:cs="Arial"/>
          <w:sz w:val="22"/>
          <w:szCs w:val="22"/>
        </w:rPr>
      </w:pPr>
    </w:p>
    <w:p w14:paraId="11B39FE8" w14:textId="77777777" w:rsidR="00014D67" w:rsidRPr="009F7CED" w:rsidRDefault="00014D67" w:rsidP="00086B16">
      <w:pPr>
        <w:ind w:left="-1276" w:right="-377"/>
        <w:jc w:val="both"/>
        <w:rPr>
          <w:rFonts w:cs="Arial"/>
          <w:sz w:val="22"/>
          <w:szCs w:val="22"/>
        </w:rPr>
      </w:pPr>
    </w:p>
    <w:p w14:paraId="330A392F" w14:textId="77777777" w:rsidR="00D05B67" w:rsidRDefault="00D05B67" w:rsidP="00BB0D58">
      <w:pPr>
        <w:pStyle w:val="Listavistosa-nfasis11"/>
        <w:spacing w:line="240" w:lineRule="auto"/>
        <w:ind w:left="0"/>
        <w:jc w:val="both"/>
        <w:rPr>
          <w:rFonts w:ascii="Arial" w:hAnsi="Arial" w:cs="Arial"/>
          <w:b/>
        </w:rPr>
      </w:pPr>
      <w:r>
        <w:rPr>
          <w:rFonts w:ascii="Arial" w:hAnsi="Arial" w:cs="Arial"/>
          <w:b/>
        </w:rPr>
        <w:t>______________</w:t>
      </w:r>
      <w:r w:rsidR="00022C96">
        <w:rPr>
          <w:rFonts w:ascii="Arial" w:hAnsi="Arial" w:cs="Arial"/>
          <w:b/>
        </w:rPr>
        <w:t>_______________</w:t>
      </w:r>
      <w:r>
        <w:rPr>
          <w:rFonts w:ascii="Arial" w:hAnsi="Arial" w:cs="Arial"/>
          <w:b/>
        </w:rPr>
        <w:t>___</w:t>
      </w:r>
    </w:p>
    <w:p w14:paraId="0C250ED6" w14:textId="77777777" w:rsidR="00BB0D58" w:rsidRDefault="00BB0D58" w:rsidP="00BB0D58">
      <w:pPr>
        <w:rPr>
          <w:rFonts w:cs="Arial"/>
          <w:b/>
        </w:rPr>
      </w:pPr>
      <w:r>
        <w:rPr>
          <w:rFonts w:cs="Arial"/>
          <w:b/>
        </w:rPr>
        <w:t>WILMER ANDRÉS PACHÓN GONZALEZ</w:t>
      </w:r>
    </w:p>
    <w:p w14:paraId="04B6F153" w14:textId="77777777" w:rsidR="00BB0D58" w:rsidRDefault="00BB0D58" w:rsidP="00BB0D58">
      <w:pPr>
        <w:rPr>
          <w:rFonts w:cs="Arial"/>
          <w:b/>
        </w:rPr>
      </w:pPr>
      <w:r w:rsidRPr="00166C0A">
        <w:rPr>
          <w:rFonts w:cs="Arial"/>
          <w:b/>
        </w:rPr>
        <w:t xml:space="preserve">Jefe </w:t>
      </w:r>
      <w:r>
        <w:rPr>
          <w:rFonts w:cs="Arial"/>
          <w:b/>
        </w:rPr>
        <w:t xml:space="preserve">de la </w:t>
      </w:r>
      <w:r w:rsidRPr="00166C0A">
        <w:rPr>
          <w:rFonts w:cs="Arial"/>
          <w:b/>
        </w:rPr>
        <w:t>Oficina Asesora Jurídica</w:t>
      </w:r>
    </w:p>
    <w:p w14:paraId="7954BEDC" w14:textId="77777777" w:rsidR="00BB0D58" w:rsidRDefault="00BB0D58" w:rsidP="00BB0D58">
      <w:pPr>
        <w:rPr>
          <w:rFonts w:cs="Arial"/>
          <w:b/>
        </w:rPr>
      </w:pPr>
      <w:r w:rsidRPr="00166C0A">
        <w:rPr>
          <w:rFonts w:cs="Arial"/>
          <w:b/>
        </w:rPr>
        <w:t>Ministerio del Trabajo</w:t>
      </w:r>
    </w:p>
    <w:p w14:paraId="432B0997" w14:textId="77777777" w:rsidR="00BB0D58" w:rsidRDefault="00BB0D58" w:rsidP="00BB0D58">
      <w:pPr>
        <w:rPr>
          <w:rFonts w:cs="Arial"/>
          <w:b/>
        </w:rPr>
      </w:pPr>
    </w:p>
    <w:p w14:paraId="651BAF82" w14:textId="77777777" w:rsidR="00BB0D58" w:rsidRDefault="00BB0D58" w:rsidP="00BB0D58">
      <w:pPr>
        <w:rPr>
          <w:rFonts w:cs="Arial"/>
          <w:b/>
        </w:rPr>
      </w:pPr>
    </w:p>
    <w:p w14:paraId="7228FD44" w14:textId="77777777" w:rsidR="00BB0D58" w:rsidRDefault="00BB0D58" w:rsidP="00BB0D58">
      <w:pPr>
        <w:rPr>
          <w:rFonts w:cs="Arial"/>
          <w:b/>
        </w:rPr>
      </w:pPr>
    </w:p>
    <w:p w14:paraId="69ED3045" w14:textId="77777777" w:rsidR="00BB0D58" w:rsidRDefault="00BB0D58" w:rsidP="00BB0D58">
      <w:pPr>
        <w:rPr>
          <w:rFonts w:cs="Arial"/>
          <w:b/>
        </w:rPr>
      </w:pPr>
    </w:p>
    <w:p w14:paraId="7D1BA24B" w14:textId="77777777" w:rsidR="00BB0D58" w:rsidRDefault="00BB0D58" w:rsidP="00BB0D58">
      <w:pPr>
        <w:rPr>
          <w:rFonts w:cs="Arial"/>
          <w:b/>
        </w:rPr>
      </w:pPr>
    </w:p>
    <w:p w14:paraId="09523F08" w14:textId="77777777" w:rsidR="00BB0D58" w:rsidRDefault="00BB0D58" w:rsidP="00BB0D58">
      <w:pPr>
        <w:rPr>
          <w:rFonts w:cs="Arial"/>
          <w:b/>
        </w:rPr>
      </w:pPr>
    </w:p>
    <w:p w14:paraId="6B3EA694" w14:textId="77777777" w:rsidR="00BB0D58" w:rsidRDefault="00BB0D58" w:rsidP="00BB0D58">
      <w:pPr>
        <w:pStyle w:val="Listavistosa-nfasis11"/>
        <w:spacing w:line="240" w:lineRule="auto"/>
        <w:ind w:left="0"/>
        <w:jc w:val="both"/>
        <w:rPr>
          <w:rFonts w:ascii="Arial" w:hAnsi="Arial" w:cs="Arial"/>
          <w:b/>
        </w:rPr>
      </w:pPr>
      <w:r>
        <w:rPr>
          <w:rFonts w:ascii="Arial" w:hAnsi="Arial" w:cs="Arial"/>
          <w:b/>
        </w:rPr>
        <w:t>________________________________</w:t>
      </w:r>
    </w:p>
    <w:p w14:paraId="0CCD5E5C" w14:textId="77777777" w:rsidR="00BB0D58" w:rsidRDefault="00BB0D58" w:rsidP="00BB0D58">
      <w:pPr>
        <w:rPr>
          <w:rFonts w:cs="Arial"/>
          <w:b/>
        </w:rPr>
      </w:pPr>
      <w:r>
        <w:rPr>
          <w:rFonts w:cs="Arial"/>
          <w:b/>
        </w:rPr>
        <w:t>CLAUDIA MÓNICA NARANJO LONDOÑO</w:t>
      </w:r>
    </w:p>
    <w:p w14:paraId="3DA99530" w14:textId="77777777" w:rsidR="00BB0D58" w:rsidRDefault="00BB0D58" w:rsidP="00BB0D58">
      <w:pPr>
        <w:rPr>
          <w:rFonts w:cs="Arial"/>
          <w:b/>
        </w:rPr>
      </w:pPr>
      <w:r>
        <w:rPr>
          <w:rFonts w:cs="Arial"/>
          <w:b/>
        </w:rPr>
        <w:t>Directora</w:t>
      </w:r>
    </w:p>
    <w:p w14:paraId="2DCD1AE5" w14:textId="77777777" w:rsidR="00BB0D58" w:rsidRDefault="00BB0D58" w:rsidP="00BB0D58">
      <w:pPr>
        <w:rPr>
          <w:rFonts w:cs="Arial"/>
          <w:b/>
        </w:rPr>
      </w:pPr>
      <w:r>
        <w:rPr>
          <w:rFonts w:cs="Arial"/>
          <w:b/>
        </w:rPr>
        <w:t>Dirección de Generación y Protección del Empleo y Subsidio Familiar</w:t>
      </w:r>
    </w:p>
    <w:p w14:paraId="308D8F78" w14:textId="77777777" w:rsidR="00BB0D58" w:rsidRDefault="00BB0D58" w:rsidP="00BB0D58">
      <w:pPr>
        <w:rPr>
          <w:rFonts w:cs="Arial"/>
          <w:b/>
        </w:rPr>
      </w:pPr>
      <w:r>
        <w:rPr>
          <w:rFonts w:cs="Arial"/>
          <w:b/>
        </w:rPr>
        <w:t>Ministerio del Trabajo</w:t>
      </w:r>
    </w:p>
    <w:p w14:paraId="41C5C4FC" w14:textId="77777777" w:rsidR="00BB0D58" w:rsidRDefault="00BB0D58" w:rsidP="00BB0D58">
      <w:pPr>
        <w:rPr>
          <w:rFonts w:cs="Arial"/>
          <w:b/>
        </w:rPr>
      </w:pPr>
    </w:p>
    <w:p w14:paraId="7C9FADEE" w14:textId="5861DDC2" w:rsidR="006779DA" w:rsidRPr="0075705D" w:rsidRDefault="00D05B67" w:rsidP="00BB0D58">
      <w:pPr>
        <w:pStyle w:val="Listavistosa-nfasis11"/>
        <w:spacing w:line="240" w:lineRule="auto"/>
        <w:rPr>
          <w:rFonts w:ascii="Arial" w:hAnsi="Arial" w:cs="Arial"/>
          <w:b/>
        </w:rPr>
      </w:pPr>
      <w:r>
        <w:t xml:space="preserve"> </w:t>
      </w:r>
    </w:p>
    <w:sectPr w:rsidR="006779DA" w:rsidRPr="0075705D"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an M Arboleda A" w:date="2023-09-14T11:27:00Z" w:initials="JMAA">
    <w:p w14:paraId="05187911" w14:textId="77777777" w:rsidR="000C0C3C" w:rsidRDefault="000C0C3C" w:rsidP="000C0C3C">
      <w:pPr>
        <w:pStyle w:val="Textocomentario"/>
      </w:pPr>
      <w:r>
        <w:rPr>
          <w:rStyle w:val="Refdecomentario"/>
        </w:rPr>
        <w:annotationRef/>
      </w:r>
      <w:r>
        <w:rPr>
          <w:lang w:val="es-CO"/>
        </w:rPr>
        <w:t>Pendiente de actualización cuando DNP entregue resultados de estudios técnicos. También se complementará con informe técnico de la Subdirección de Análisis Y Monitoreo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879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87911" w16cid:durableId="28AD6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887C" w14:textId="77777777" w:rsidR="00024029" w:rsidRDefault="00024029">
      <w:r>
        <w:separator/>
      </w:r>
    </w:p>
  </w:endnote>
  <w:endnote w:type="continuationSeparator" w:id="0">
    <w:p w14:paraId="46674353" w14:textId="77777777" w:rsidR="00024029" w:rsidRDefault="0002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77777777" w:rsidR="00836C6A" w:rsidRDefault="00836C6A">
    <w:pPr>
      <w:pStyle w:val="Piedepgina"/>
      <w:jc w:val="right"/>
    </w:pPr>
    <w:r>
      <w:fldChar w:fldCharType="begin"/>
    </w:r>
    <w:r w:rsidR="000C5964">
      <w:instrText>PAGE</w:instrText>
    </w:r>
    <w:r>
      <w:instrText xml:space="preserve">   \* MERGEFORMAT</w:instrText>
    </w:r>
    <w:r>
      <w:fldChar w:fldCharType="separate"/>
    </w:r>
    <w:r w:rsidR="00C7145D">
      <w:rPr>
        <w:noProof/>
      </w:rPr>
      <w:t>2</w:t>
    </w:r>
    <w:r>
      <w:fldChar w:fldCharType="end"/>
    </w:r>
  </w:p>
  <w:p w14:paraId="53226DA6"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32ED" w14:textId="77777777" w:rsidR="00024029" w:rsidRDefault="00024029">
      <w:r>
        <w:separator/>
      </w:r>
    </w:p>
  </w:footnote>
  <w:footnote w:type="continuationSeparator" w:id="0">
    <w:p w14:paraId="45CB395D" w14:textId="77777777" w:rsidR="00024029" w:rsidRDefault="0002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896A"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48448516" w14:textId="77777777" w:rsidTr="00EE2F54">
      <w:trPr>
        <w:trHeight w:val="1131"/>
      </w:trPr>
      <w:tc>
        <w:tcPr>
          <w:tcW w:w="4253" w:type="dxa"/>
          <w:shd w:val="clear" w:color="auto" w:fill="auto"/>
        </w:tcPr>
        <w:p w14:paraId="432B8AB7" w14:textId="12F3F63B" w:rsidR="00696582" w:rsidRDefault="00EE2F54" w:rsidP="001447C1">
          <w:pPr>
            <w:pStyle w:val="Encabezado"/>
          </w:pPr>
          <w:r>
            <w:rPr>
              <w:noProof/>
              <w:lang w:eastAsia="es-CO"/>
            </w:rPr>
            <w:drawing>
              <wp:anchor distT="0" distB="0" distL="114300" distR="114300" simplePos="0" relativeHeight="251662336" behindDoc="0" locked="0" layoutInCell="1" allowOverlap="1" wp14:anchorId="33B58A6A" wp14:editId="77A5D32E">
                <wp:simplePos x="0" y="0"/>
                <wp:positionH relativeFrom="page">
                  <wp:posOffset>10795</wp:posOffset>
                </wp:positionH>
                <wp:positionV relativeFrom="paragraph">
                  <wp:posOffset>7620</wp:posOffset>
                </wp:positionV>
                <wp:extent cx="1494790" cy="714375"/>
                <wp:effectExtent l="0" t="0" r="0" b="0"/>
                <wp:wrapNone/>
                <wp:docPr id="7" name="Imagen 7"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79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EE389B1" wp14:editId="75BFA200">
                <wp:simplePos x="0" y="0"/>
                <wp:positionH relativeFrom="page">
                  <wp:posOffset>1477645</wp:posOffset>
                </wp:positionH>
                <wp:positionV relativeFrom="paragraph">
                  <wp:posOffset>198120</wp:posOffset>
                </wp:positionV>
                <wp:extent cx="1210310" cy="516890"/>
                <wp:effectExtent l="0" t="0" r="0" b="0"/>
                <wp:wrapNone/>
                <wp:docPr id="8" name="Imagen 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7B273D6"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5B5262B2" w14:textId="77777777" w:rsidTr="00EE2F54">
      <w:trPr>
        <w:trHeight w:val="1131"/>
      </w:trPr>
      <w:tc>
        <w:tcPr>
          <w:tcW w:w="4253" w:type="dxa"/>
          <w:shd w:val="clear" w:color="auto" w:fill="auto"/>
        </w:tcPr>
        <w:p w14:paraId="16A3EFF1" w14:textId="66EBA210" w:rsidR="00350767" w:rsidRDefault="00EE2F54">
          <w:pPr>
            <w:pStyle w:val="Encabezado"/>
          </w:pPr>
          <w:r>
            <w:rPr>
              <w:noProof/>
            </w:rPr>
            <w:drawing>
              <wp:anchor distT="0" distB="0" distL="114300" distR="114300" simplePos="0" relativeHeight="251658240" behindDoc="0" locked="0" layoutInCell="1" allowOverlap="1" wp14:anchorId="5B04717C" wp14:editId="25A634CD">
                <wp:simplePos x="0" y="0"/>
                <wp:positionH relativeFrom="page">
                  <wp:posOffset>1469390</wp:posOffset>
                </wp:positionH>
                <wp:positionV relativeFrom="paragraph">
                  <wp:posOffset>205740</wp:posOffset>
                </wp:positionV>
                <wp:extent cx="1210310" cy="516890"/>
                <wp:effectExtent l="0" t="0" r="0" b="0"/>
                <wp:wrapNone/>
                <wp:docPr id="6" name="Imagen 6"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78B53A04" w:rsidR="00350767" w:rsidRDefault="00EE2F54">
    <w:pPr>
      <w:pStyle w:val="Encabezado"/>
    </w:pPr>
    <w:r>
      <w:rPr>
        <w:noProof/>
        <w:lang w:eastAsia="es-CO"/>
      </w:rPr>
      <w:drawing>
        <wp:anchor distT="0" distB="0" distL="114300" distR="114300" simplePos="0" relativeHeight="251660288" behindDoc="0" locked="0" layoutInCell="1" allowOverlap="1" wp14:anchorId="6104F32D" wp14:editId="001DBB4D">
          <wp:simplePos x="0" y="0"/>
          <wp:positionH relativeFrom="page">
            <wp:posOffset>485590</wp:posOffset>
          </wp:positionH>
          <wp:positionV relativeFrom="paragraph">
            <wp:posOffset>-721201</wp:posOffset>
          </wp:positionV>
          <wp:extent cx="1494913" cy="714375"/>
          <wp:effectExtent l="0" t="0" r="0" b="0"/>
          <wp:wrapNone/>
          <wp:docPr id="3" name="Imagen 3"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913"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3F08B8"/>
    <w:multiLevelType w:val="hybridMultilevel"/>
    <w:tmpl w:val="DEB6A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36132F"/>
    <w:multiLevelType w:val="hybridMultilevel"/>
    <w:tmpl w:val="9C96BFC6"/>
    <w:lvl w:ilvl="0" w:tplc="FFFFFFFF">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7"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6"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7"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9"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F53078C"/>
    <w:multiLevelType w:val="hybridMultilevel"/>
    <w:tmpl w:val="8DF45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4"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60046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575587">
    <w:abstractNumId w:val="7"/>
  </w:num>
  <w:num w:numId="3" w16cid:durableId="1185093566">
    <w:abstractNumId w:val="39"/>
  </w:num>
  <w:num w:numId="4" w16cid:durableId="2007317995">
    <w:abstractNumId w:val="8"/>
  </w:num>
  <w:num w:numId="5" w16cid:durableId="623270155">
    <w:abstractNumId w:val="17"/>
  </w:num>
  <w:num w:numId="6" w16cid:durableId="1211381341">
    <w:abstractNumId w:val="33"/>
  </w:num>
  <w:num w:numId="7" w16cid:durableId="1176963644">
    <w:abstractNumId w:val="9"/>
  </w:num>
  <w:num w:numId="8" w16cid:durableId="1420105568">
    <w:abstractNumId w:val="18"/>
  </w:num>
  <w:num w:numId="9" w16cid:durableId="1867135026">
    <w:abstractNumId w:val="6"/>
  </w:num>
  <w:num w:numId="10" w16cid:durableId="384791953">
    <w:abstractNumId w:val="23"/>
  </w:num>
  <w:num w:numId="11" w16cid:durableId="193079012">
    <w:abstractNumId w:val="13"/>
  </w:num>
  <w:num w:numId="12" w16cid:durableId="605044708">
    <w:abstractNumId w:val="34"/>
  </w:num>
  <w:num w:numId="13" w16cid:durableId="1492405843">
    <w:abstractNumId w:val="40"/>
  </w:num>
  <w:num w:numId="14" w16cid:durableId="123891174">
    <w:abstractNumId w:val="41"/>
  </w:num>
  <w:num w:numId="15" w16cid:durableId="1708875857">
    <w:abstractNumId w:val="1"/>
  </w:num>
  <w:num w:numId="16" w16cid:durableId="1280336701">
    <w:abstractNumId w:val="24"/>
  </w:num>
  <w:num w:numId="17" w16cid:durableId="1416974729">
    <w:abstractNumId w:val="4"/>
  </w:num>
  <w:num w:numId="18" w16cid:durableId="1048801848">
    <w:abstractNumId w:val="26"/>
  </w:num>
  <w:num w:numId="19" w16cid:durableId="441415790">
    <w:abstractNumId w:val="29"/>
  </w:num>
  <w:num w:numId="20" w16cid:durableId="1524971989">
    <w:abstractNumId w:val="0"/>
  </w:num>
  <w:num w:numId="21" w16cid:durableId="1425489893">
    <w:abstractNumId w:val="10"/>
  </w:num>
  <w:num w:numId="22" w16cid:durableId="2035112050">
    <w:abstractNumId w:val="20"/>
  </w:num>
  <w:num w:numId="23" w16cid:durableId="15719636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1501968">
    <w:abstractNumId w:val="38"/>
  </w:num>
  <w:num w:numId="25" w16cid:durableId="1006597041">
    <w:abstractNumId w:val="11"/>
  </w:num>
  <w:num w:numId="26" w16cid:durableId="619531694">
    <w:abstractNumId w:val="31"/>
  </w:num>
  <w:num w:numId="27" w16cid:durableId="1083455817">
    <w:abstractNumId w:val="28"/>
  </w:num>
  <w:num w:numId="28" w16cid:durableId="1489707082">
    <w:abstractNumId w:val="43"/>
  </w:num>
  <w:num w:numId="29" w16cid:durableId="1589540748">
    <w:abstractNumId w:val="1"/>
  </w:num>
  <w:num w:numId="30" w16cid:durableId="2118985656">
    <w:abstractNumId w:val="45"/>
  </w:num>
  <w:num w:numId="31" w16cid:durableId="1775897414">
    <w:abstractNumId w:val="25"/>
  </w:num>
  <w:num w:numId="32" w16cid:durableId="796948538">
    <w:abstractNumId w:val="37"/>
  </w:num>
  <w:num w:numId="33" w16cid:durableId="158082959">
    <w:abstractNumId w:val="27"/>
  </w:num>
  <w:num w:numId="34" w16cid:durableId="1188837325">
    <w:abstractNumId w:val="36"/>
  </w:num>
  <w:num w:numId="35" w16cid:durableId="1745758211">
    <w:abstractNumId w:val="14"/>
  </w:num>
  <w:num w:numId="36" w16cid:durableId="956064592">
    <w:abstractNumId w:val="5"/>
  </w:num>
  <w:num w:numId="37" w16cid:durableId="799152288">
    <w:abstractNumId w:val="2"/>
  </w:num>
  <w:num w:numId="38" w16cid:durableId="1918711430">
    <w:abstractNumId w:val="30"/>
  </w:num>
  <w:num w:numId="39" w16cid:durableId="1823428421">
    <w:abstractNumId w:val="35"/>
  </w:num>
  <w:num w:numId="40" w16cid:durableId="1431899420">
    <w:abstractNumId w:val="15"/>
  </w:num>
  <w:num w:numId="41" w16cid:durableId="172958884">
    <w:abstractNumId w:val="44"/>
  </w:num>
  <w:num w:numId="42" w16cid:durableId="1897624780">
    <w:abstractNumId w:val="19"/>
  </w:num>
  <w:num w:numId="43" w16cid:durableId="50081208">
    <w:abstractNumId w:val="3"/>
  </w:num>
  <w:num w:numId="44" w16cid:durableId="497038969">
    <w:abstractNumId w:val="12"/>
  </w:num>
  <w:num w:numId="45" w16cid:durableId="130907265">
    <w:abstractNumId w:val="21"/>
  </w:num>
  <w:num w:numId="46" w16cid:durableId="592200257">
    <w:abstractNumId w:val="16"/>
  </w:num>
  <w:num w:numId="47" w16cid:durableId="2090807095">
    <w:abstractNumId w:val="42"/>
  </w:num>
  <w:num w:numId="48" w16cid:durableId="5874673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2C96"/>
    <w:rsid w:val="00024029"/>
    <w:rsid w:val="00024F34"/>
    <w:rsid w:val="0002546A"/>
    <w:rsid w:val="00032CBF"/>
    <w:rsid w:val="0004205E"/>
    <w:rsid w:val="00047A6E"/>
    <w:rsid w:val="00050524"/>
    <w:rsid w:val="00066463"/>
    <w:rsid w:val="000762FE"/>
    <w:rsid w:val="0007636F"/>
    <w:rsid w:val="00081CEE"/>
    <w:rsid w:val="00084B49"/>
    <w:rsid w:val="00086B16"/>
    <w:rsid w:val="00092C0A"/>
    <w:rsid w:val="00094D9F"/>
    <w:rsid w:val="000A35DA"/>
    <w:rsid w:val="000A3E34"/>
    <w:rsid w:val="000B30A6"/>
    <w:rsid w:val="000B39C5"/>
    <w:rsid w:val="000B50F1"/>
    <w:rsid w:val="000C0C3C"/>
    <w:rsid w:val="000C41BE"/>
    <w:rsid w:val="000C5964"/>
    <w:rsid w:val="000C614C"/>
    <w:rsid w:val="000C6C52"/>
    <w:rsid w:val="000D1904"/>
    <w:rsid w:val="000D2DA8"/>
    <w:rsid w:val="000D512E"/>
    <w:rsid w:val="000E0152"/>
    <w:rsid w:val="000E370D"/>
    <w:rsid w:val="000E65A4"/>
    <w:rsid w:val="00105533"/>
    <w:rsid w:val="001072FB"/>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7186"/>
    <w:rsid w:val="001978EB"/>
    <w:rsid w:val="001A2AF1"/>
    <w:rsid w:val="001C013E"/>
    <w:rsid w:val="001D1743"/>
    <w:rsid w:val="001D17CF"/>
    <w:rsid w:val="001E2543"/>
    <w:rsid w:val="001E6C60"/>
    <w:rsid w:val="001F238A"/>
    <w:rsid w:val="002171A2"/>
    <w:rsid w:val="002217D1"/>
    <w:rsid w:val="002264B8"/>
    <w:rsid w:val="00235361"/>
    <w:rsid w:val="00236F62"/>
    <w:rsid w:val="00237D76"/>
    <w:rsid w:val="00251FCE"/>
    <w:rsid w:val="00252F13"/>
    <w:rsid w:val="00254313"/>
    <w:rsid w:val="0026513E"/>
    <w:rsid w:val="002729A5"/>
    <w:rsid w:val="002862C1"/>
    <w:rsid w:val="00286449"/>
    <w:rsid w:val="00287EC3"/>
    <w:rsid w:val="00293F29"/>
    <w:rsid w:val="002941D1"/>
    <w:rsid w:val="002A2A12"/>
    <w:rsid w:val="002C05D0"/>
    <w:rsid w:val="002C6429"/>
    <w:rsid w:val="002D096D"/>
    <w:rsid w:val="002D11FE"/>
    <w:rsid w:val="002D2CB2"/>
    <w:rsid w:val="002D35EC"/>
    <w:rsid w:val="002D3FE3"/>
    <w:rsid w:val="002D5E8B"/>
    <w:rsid w:val="002E4A97"/>
    <w:rsid w:val="002E71C4"/>
    <w:rsid w:val="002F226A"/>
    <w:rsid w:val="00301DC2"/>
    <w:rsid w:val="003227FD"/>
    <w:rsid w:val="00325A55"/>
    <w:rsid w:val="003343DB"/>
    <w:rsid w:val="00336655"/>
    <w:rsid w:val="00342B3C"/>
    <w:rsid w:val="00346554"/>
    <w:rsid w:val="003503EB"/>
    <w:rsid w:val="00350767"/>
    <w:rsid w:val="00350E4B"/>
    <w:rsid w:val="003533A1"/>
    <w:rsid w:val="003651DE"/>
    <w:rsid w:val="00367CB8"/>
    <w:rsid w:val="003711C0"/>
    <w:rsid w:val="00373197"/>
    <w:rsid w:val="0038390A"/>
    <w:rsid w:val="00383AA8"/>
    <w:rsid w:val="003A0BBF"/>
    <w:rsid w:val="003A3C08"/>
    <w:rsid w:val="003A6449"/>
    <w:rsid w:val="003A73D2"/>
    <w:rsid w:val="003B3F46"/>
    <w:rsid w:val="003B4DDE"/>
    <w:rsid w:val="003B625C"/>
    <w:rsid w:val="003C0C28"/>
    <w:rsid w:val="003C0F32"/>
    <w:rsid w:val="003C6CAC"/>
    <w:rsid w:val="003D3516"/>
    <w:rsid w:val="003E1394"/>
    <w:rsid w:val="003E582F"/>
    <w:rsid w:val="00401B59"/>
    <w:rsid w:val="00405CE5"/>
    <w:rsid w:val="0041604F"/>
    <w:rsid w:val="00427DD9"/>
    <w:rsid w:val="004317DB"/>
    <w:rsid w:val="00432C5C"/>
    <w:rsid w:val="00437C19"/>
    <w:rsid w:val="00461D1F"/>
    <w:rsid w:val="00470148"/>
    <w:rsid w:val="00470526"/>
    <w:rsid w:val="00474CA7"/>
    <w:rsid w:val="004848A4"/>
    <w:rsid w:val="00490F5F"/>
    <w:rsid w:val="004A0755"/>
    <w:rsid w:val="004A6BE3"/>
    <w:rsid w:val="004A7938"/>
    <w:rsid w:val="004B078F"/>
    <w:rsid w:val="004C4371"/>
    <w:rsid w:val="004C7D38"/>
    <w:rsid w:val="004D0D86"/>
    <w:rsid w:val="004D10C6"/>
    <w:rsid w:val="004D2643"/>
    <w:rsid w:val="004D294E"/>
    <w:rsid w:val="004D3D03"/>
    <w:rsid w:val="004D4586"/>
    <w:rsid w:val="004D6329"/>
    <w:rsid w:val="004E034B"/>
    <w:rsid w:val="004E17FC"/>
    <w:rsid w:val="004E274E"/>
    <w:rsid w:val="004E517F"/>
    <w:rsid w:val="004F778E"/>
    <w:rsid w:val="004F7A38"/>
    <w:rsid w:val="0050148F"/>
    <w:rsid w:val="00502F91"/>
    <w:rsid w:val="00520AAA"/>
    <w:rsid w:val="00520B2A"/>
    <w:rsid w:val="005338E4"/>
    <w:rsid w:val="0054286C"/>
    <w:rsid w:val="00543E5A"/>
    <w:rsid w:val="00545A32"/>
    <w:rsid w:val="0054645F"/>
    <w:rsid w:val="005616ED"/>
    <w:rsid w:val="005629D0"/>
    <w:rsid w:val="00564A4E"/>
    <w:rsid w:val="005815B6"/>
    <w:rsid w:val="00584E85"/>
    <w:rsid w:val="005871DA"/>
    <w:rsid w:val="00587695"/>
    <w:rsid w:val="0059054D"/>
    <w:rsid w:val="0059316B"/>
    <w:rsid w:val="005949A8"/>
    <w:rsid w:val="005A077D"/>
    <w:rsid w:val="005A4320"/>
    <w:rsid w:val="005A498D"/>
    <w:rsid w:val="005C19CA"/>
    <w:rsid w:val="005C4522"/>
    <w:rsid w:val="005D49BF"/>
    <w:rsid w:val="005F30C3"/>
    <w:rsid w:val="005F7863"/>
    <w:rsid w:val="0060353B"/>
    <w:rsid w:val="00620876"/>
    <w:rsid w:val="00624FD0"/>
    <w:rsid w:val="00630C5E"/>
    <w:rsid w:val="006315B4"/>
    <w:rsid w:val="00635AC3"/>
    <w:rsid w:val="00636FFB"/>
    <w:rsid w:val="00654CCF"/>
    <w:rsid w:val="00665F82"/>
    <w:rsid w:val="00667C4C"/>
    <w:rsid w:val="0067186C"/>
    <w:rsid w:val="00671E11"/>
    <w:rsid w:val="006779DA"/>
    <w:rsid w:val="00687EB3"/>
    <w:rsid w:val="00692980"/>
    <w:rsid w:val="00693246"/>
    <w:rsid w:val="0069506F"/>
    <w:rsid w:val="00696582"/>
    <w:rsid w:val="006A1DBB"/>
    <w:rsid w:val="006B4E40"/>
    <w:rsid w:val="006C103A"/>
    <w:rsid w:val="006C4E6A"/>
    <w:rsid w:val="006C50E8"/>
    <w:rsid w:val="006D464D"/>
    <w:rsid w:val="006E6F11"/>
    <w:rsid w:val="006F0B6B"/>
    <w:rsid w:val="006F144D"/>
    <w:rsid w:val="006F461B"/>
    <w:rsid w:val="006F622C"/>
    <w:rsid w:val="00700FF6"/>
    <w:rsid w:val="00704D44"/>
    <w:rsid w:val="00715A68"/>
    <w:rsid w:val="00715DD5"/>
    <w:rsid w:val="00715ECF"/>
    <w:rsid w:val="00717A04"/>
    <w:rsid w:val="00717BFE"/>
    <w:rsid w:val="007208C5"/>
    <w:rsid w:val="00725BB4"/>
    <w:rsid w:val="0073180A"/>
    <w:rsid w:val="00732997"/>
    <w:rsid w:val="007336C3"/>
    <w:rsid w:val="00735033"/>
    <w:rsid w:val="00756485"/>
    <w:rsid w:val="0075705D"/>
    <w:rsid w:val="007626E1"/>
    <w:rsid w:val="00767F65"/>
    <w:rsid w:val="00770D6C"/>
    <w:rsid w:val="00783515"/>
    <w:rsid w:val="00787C94"/>
    <w:rsid w:val="00791BCB"/>
    <w:rsid w:val="007921BD"/>
    <w:rsid w:val="00793A02"/>
    <w:rsid w:val="00795C6B"/>
    <w:rsid w:val="007A1566"/>
    <w:rsid w:val="007A3995"/>
    <w:rsid w:val="007A5AC5"/>
    <w:rsid w:val="007B622D"/>
    <w:rsid w:val="007C4288"/>
    <w:rsid w:val="007C484E"/>
    <w:rsid w:val="007D4853"/>
    <w:rsid w:val="007D57C4"/>
    <w:rsid w:val="007E0429"/>
    <w:rsid w:val="007E41DE"/>
    <w:rsid w:val="007E4CE3"/>
    <w:rsid w:val="007F2B1F"/>
    <w:rsid w:val="00802F7A"/>
    <w:rsid w:val="00806A1C"/>
    <w:rsid w:val="0080773A"/>
    <w:rsid w:val="008173F3"/>
    <w:rsid w:val="0082117C"/>
    <w:rsid w:val="008227E9"/>
    <w:rsid w:val="008252C5"/>
    <w:rsid w:val="00831860"/>
    <w:rsid w:val="00832F2D"/>
    <w:rsid w:val="00836C6A"/>
    <w:rsid w:val="00841C9F"/>
    <w:rsid w:val="0084294E"/>
    <w:rsid w:val="00843EFF"/>
    <w:rsid w:val="008442A5"/>
    <w:rsid w:val="008477A9"/>
    <w:rsid w:val="0085416A"/>
    <w:rsid w:val="00856B0F"/>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3B0A"/>
    <w:rsid w:val="008C2BA0"/>
    <w:rsid w:val="008C69F2"/>
    <w:rsid w:val="008D3E6C"/>
    <w:rsid w:val="008E04EC"/>
    <w:rsid w:val="008E43F4"/>
    <w:rsid w:val="008F42F6"/>
    <w:rsid w:val="008F5282"/>
    <w:rsid w:val="00912BAC"/>
    <w:rsid w:val="00925058"/>
    <w:rsid w:val="00926CDB"/>
    <w:rsid w:val="00930113"/>
    <w:rsid w:val="009356EC"/>
    <w:rsid w:val="00937FB2"/>
    <w:rsid w:val="0094114F"/>
    <w:rsid w:val="0095690D"/>
    <w:rsid w:val="009609C5"/>
    <w:rsid w:val="00963008"/>
    <w:rsid w:val="00965B1A"/>
    <w:rsid w:val="00971B57"/>
    <w:rsid w:val="00976933"/>
    <w:rsid w:val="00981893"/>
    <w:rsid w:val="00984974"/>
    <w:rsid w:val="00986438"/>
    <w:rsid w:val="00987DBF"/>
    <w:rsid w:val="009970F9"/>
    <w:rsid w:val="009A5590"/>
    <w:rsid w:val="009C3837"/>
    <w:rsid w:val="009C44BD"/>
    <w:rsid w:val="009C537F"/>
    <w:rsid w:val="009D0585"/>
    <w:rsid w:val="009D2BB3"/>
    <w:rsid w:val="009E0846"/>
    <w:rsid w:val="009E1EF4"/>
    <w:rsid w:val="009E1F32"/>
    <w:rsid w:val="009E4BD5"/>
    <w:rsid w:val="009F1BE0"/>
    <w:rsid w:val="009F7CED"/>
    <w:rsid w:val="00A04569"/>
    <w:rsid w:val="00A0736A"/>
    <w:rsid w:val="00A07DE7"/>
    <w:rsid w:val="00A1301A"/>
    <w:rsid w:val="00A14C37"/>
    <w:rsid w:val="00A161B9"/>
    <w:rsid w:val="00A219D7"/>
    <w:rsid w:val="00A2785C"/>
    <w:rsid w:val="00A33DCF"/>
    <w:rsid w:val="00A377FE"/>
    <w:rsid w:val="00A4128C"/>
    <w:rsid w:val="00A41AEF"/>
    <w:rsid w:val="00A447B3"/>
    <w:rsid w:val="00A500DD"/>
    <w:rsid w:val="00A52C3F"/>
    <w:rsid w:val="00A55DB6"/>
    <w:rsid w:val="00A61784"/>
    <w:rsid w:val="00A623FC"/>
    <w:rsid w:val="00A64120"/>
    <w:rsid w:val="00A72973"/>
    <w:rsid w:val="00A74AFD"/>
    <w:rsid w:val="00A80613"/>
    <w:rsid w:val="00A83A98"/>
    <w:rsid w:val="00A85AEA"/>
    <w:rsid w:val="00A94019"/>
    <w:rsid w:val="00A976ED"/>
    <w:rsid w:val="00AA28E8"/>
    <w:rsid w:val="00AB0708"/>
    <w:rsid w:val="00AB0C45"/>
    <w:rsid w:val="00AB6652"/>
    <w:rsid w:val="00AC1AF8"/>
    <w:rsid w:val="00AC447D"/>
    <w:rsid w:val="00AD5446"/>
    <w:rsid w:val="00AD623F"/>
    <w:rsid w:val="00AE03F3"/>
    <w:rsid w:val="00AF5E71"/>
    <w:rsid w:val="00B01939"/>
    <w:rsid w:val="00B13AE3"/>
    <w:rsid w:val="00B25550"/>
    <w:rsid w:val="00B30DCD"/>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8326D"/>
    <w:rsid w:val="00B84AF8"/>
    <w:rsid w:val="00B937B6"/>
    <w:rsid w:val="00BA450F"/>
    <w:rsid w:val="00BB0D58"/>
    <w:rsid w:val="00BB545F"/>
    <w:rsid w:val="00BD4B65"/>
    <w:rsid w:val="00BE280C"/>
    <w:rsid w:val="00BF054E"/>
    <w:rsid w:val="00BF0DB9"/>
    <w:rsid w:val="00BF6D82"/>
    <w:rsid w:val="00C12B93"/>
    <w:rsid w:val="00C134C3"/>
    <w:rsid w:val="00C26C14"/>
    <w:rsid w:val="00C27D76"/>
    <w:rsid w:val="00C31D59"/>
    <w:rsid w:val="00C36892"/>
    <w:rsid w:val="00C4009A"/>
    <w:rsid w:val="00C401C2"/>
    <w:rsid w:val="00C46330"/>
    <w:rsid w:val="00C47F73"/>
    <w:rsid w:val="00C52E86"/>
    <w:rsid w:val="00C6077B"/>
    <w:rsid w:val="00C61441"/>
    <w:rsid w:val="00C7145D"/>
    <w:rsid w:val="00C7294E"/>
    <w:rsid w:val="00C91F90"/>
    <w:rsid w:val="00CA57DF"/>
    <w:rsid w:val="00CB0063"/>
    <w:rsid w:val="00CB4D37"/>
    <w:rsid w:val="00CB66F7"/>
    <w:rsid w:val="00CC0C62"/>
    <w:rsid w:val="00CC259C"/>
    <w:rsid w:val="00CC42D1"/>
    <w:rsid w:val="00CC5B3E"/>
    <w:rsid w:val="00CE1A87"/>
    <w:rsid w:val="00CF25EF"/>
    <w:rsid w:val="00D04A96"/>
    <w:rsid w:val="00D05B67"/>
    <w:rsid w:val="00D05D52"/>
    <w:rsid w:val="00D24980"/>
    <w:rsid w:val="00D26D53"/>
    <w:rsid w:val="00D31F43"/>
    <w:rsid w:val="00D40E59"/>
    <w:rsid w:val="00D415E6"/>
    <w:rsid w:val="00D444C5"/>
    <w:rsid w:val="00D530DC"/>
    <w:rsid w:val="00D62023"/>
    <w:rsid w:val="00D7070F"/>
    <w:rsid w:val="00D709DD"/>
    <w:rsid w:val="00D8294A"/>
    <w:rsid w:val="00D83F98"/>
    <w:rsid w:val="00D84A75"/>
    <w:rsid w:val="00D85F90"/>
    <w:rsid w:val="00D90649"/>
    <w:rsid w:val="00D91E89"/>
    <w:rsid w:val="00D9213D"/>
    <w:rsid w:val="00D965B1"/>
    <w:rsid w:val="00D97DF9"/>
    <w:rsid w:val="00DA6526"/>
    <w:rsid w:val="00DA6C54"/>
    <w:rsid w:val="00DC54A3"/>
    <w:rsid w:val="00DD181C"/>
    <w:rsid w:val="00DD2F2C"/>
    <w:rsid w:val="00DD48D9"/>
    <w:rsid w:val="00DE1540"/>
    <w:rsid w:val="00DE520C"/>
    <w:rsid w:val="00DF1E66"/>
    <w:rsid w:val="00DF60FD"/>
    <w:rsid w:val="00DF6410"/>
    <w:rsid w:val="00E007F7"/>
    <w:rsid w:val="00E05F18"/>
    <w:rsid w:val="00E06A27"/>
    <w:rsid w:val="00E12202"/>
    <w:rsid w:val="00E242C5"/>
    <w:rsid w:val="00E24673"/>
    <w:rsid w:val="00E24F26"/>
    <w:rsid w:val="00E261B4"/>
    <w:rsid w:val="00E31E85"/>
    <w:rsid w:val="00E407FF"/>
    <w:rsid w:val="00E40C34"/>
    <w:rsid w:val="00E41E2C"/>
    <w:rsid w:val="00E44207"/>
    <w:rsid w:val="00E66C57"/>
    <w:rsid w:val="00E66D00"/>
    <w:rsid w:val="00E7224C"/>
    <w:rsid w:val="00E729F2"/>
    <w:rsid w:val="00E75DBD"/>
    <w:rsid w:val="00E805D3"/>
    <w:rsid w:val="00E80826"/>
    <w:rsid w:val="00E84DA1"/>
    <w:rsid w:val="00E91332"/>
    <w:rsid w:val="00EA3045"/>
    <w:rsid w:val="00EC1DE8"/>
    <w:rsid w:val="00EC35AE"/>
    <w:rsid w:val="00ED4708"/>
    <w:rsid w:val="00EE0D69"/>
    <w:rsid w:val="00EE0F26"/>
    <w:rsid w:val="00EE2ABB"/>
    <w:rsid w:val="00EE2F54"/>
    <w:rsid w:val="00EF192B"/>
    <w:rsid w:val="00F06B8A"/>
    <w:rsid w:val="00F07A7D"/>
    <w:rsid w:val="00F153C1"/>
    <w:rsid w:val="00F16839"/>
    <w:rsid w:val="00F211E7"/>
    <w:rsid w:val="00F21D37"/>
    <w:rsid w:val="00F221F0"/>
    <w:rsid w:val="00F26136"/>
    <w:rsid w:val="00F2713B"/>
    <w:rsid w:val="00F305D8"/>
    <w:rsid w:val="00F37106"/>
    <w:rsid w:val="00F44A2E"/>
    <w:rsid w:val="00F47D57"/>
    <w:rsid w:val="00F55DC4"/>
    <w:rsid w:val="00F576B3"/>
    <w:rsid w:val="00F745E1"/>
    <w:rsid w:val="00F75A79"/>
    <w:rsid w:val="00F7620E"/>
    <w:rsid w:val="00F775AD"/>
    <w:rsid w:val="00F80E07"/>
    <w:rsid w:val="00F90326"/>
    <w:rsid w:val="00F90F86"/>
    <w:rsid w:val="00F92DF0"/>
    <w:rsid w:val="00FA0454"/>
    <w:rsid w:val="00FA4A9E"/>
    <w:rsid w:val="00FB1248"/>
    <w:rsid w:val="00FB217D"/>
    <w:rsid w:val="00FB29CC"/>
    <w:rsid w:val="00FC0522"/>
    <w:rsid w:val="00FC2DE3"/>
    <w:rsid w:val="00FD3D04"/>
    <w:rsid w:val="00FD49A0"/>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link w:val="TextocomentarioCar"/>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 w:type="character" w:customStyle="1" w:styleId="TextocomentarioCar">
    <w:name w:val="Texto comentario Car"/>
    <w:basedOn w:val="Fuentedeprrafopredeter"/>
    <w:link w:val="Textocomentario"/>
    <w:semiHidden/>
    <w:rsid w:val="000C0C3C"/>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4EC5-52D9-4929-B3D2-A7B03D91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3272</Words>
  <Characters>18001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Diana Maria Gomez Ortiz</cp:lastModifiedBy>
  <cp:revision>6</cp:revision>
  <cp:lastPrinted>2019-07-08T22:30:00Z</cp:lastPrinted>
  <dcterms:created xsi:type="dcterms:W3CDTF">2023-06-17T00:18:00Z</dcterms:created>
  <dcterms:modified xsi:type="dcterms:W3CDTF">2023-11-21T20:59:00Z</dcterms:modified>
</cp:coreProperties>
</file>